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DE2907">
      <w:pPr>
        <w:autoSpaceDE w:val="0"/>
        <w:autoSpaceDN w:val="0"/>
        <w:adjustRightInd w:val="0"/>
        <w:ind w:firstLine="5529"/>
        <w:jc w:val="center"/>
        <w:outlineLvl w:val="0"/>
      </w:pPr>
      <w:bookmarkStart w:id="0" w:name="_GoBack"/>
      <w:bookmarkEnd w:id="0"/>
      <w:r>
        <w:t>Приложение № 1</w:t>
      </w:r>
    </w:p>
    <w:p w:rsidR="00412D59" w:rsidRDefault="00412D59" w:rsidP="00DE2907">
      <w:pPr>
        <w:autoSpaceDE w:val="0"/>
        <w:autoSpaceDN w:val="0"/>
        <w:adjustRightInd w:val="0"/>
        <w:ind w:firstLine="5529"/>
        <w:jc w:val="right"/>
        <w:outlineLvl w:val="0"/>
      </w:pPr>
      <w:r>
        <w:t>к постановлению Администрации</w:t>
      </w:r>
    </w:p>
    <w:p w:rsidR="00412D59" w:rsidRDefault="00412D59" w:rsidP="00DE2907">
      <w:pPr>
        <w:autoSpaceDE w:val="0"/>
        <w:autoSpaceDN w:val="0"/>
        <w:adjustRightInd w:val="0"/>
        <w:ind w:firstLine="5529"/>
        <w:jc w:val="right"/>
        <w:outlineLvl w:val="0"/>
      </w:pPr>
      <w:r>
        <w:t>Шуйского муниципального района</w:t>
      </w:r>
    </w:p>
    <w:p w:rsidR="00412D59" w:rsidRPr="0010141B" w:rsidRDefault="00FB361D" w:rsidP="00DE2907">
      <w:pPr>
        <w:autoSpaceDE w:val="0"/>
        <w:autoSpaceDN w:val="0"/>
        <w:adjustRightInd w:val="0"/>
        <w:ind w:firstLine="5529"/>
        <w:jc w:val="center"/>
        <w:outlineLvl w:val="0"/>
        <w:rPr>
          <w:u w:val="single"/>
        </w:rPr>
      </w:pPr>
      <w:r>
        <w:t>о</w:t>
      </w:r>
      <w:r w:rsidR="00412D59">
        <w:t>т</w:t>
      </w:r>
      <w:r w:rsidR="0039447E" w:rsidRPr="0039447E">
        <w:rPr>
          <w:u w:val="single"/>
        </w:rPr>
        <w:t>23.04.2018</w:t>
      </w:r>
      <w:r w:rsidR="00412D59">
        <w:t>№</w:t>
      </w:r>
      <w:r w:rsidR="0039447E" w:rsidRPr="0039447E">
        <w:rPr>
          <w:u w:val="single"/>
        </w:rPr>
        <w:t>297-п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CD44A8" w:rsidRPr="007001F2" w:rsidTr="00CD44A8">
        <w:trPr>
          <w:trHeight w:val="250"/>
        </w:trPr>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CD44A8" w:rsidRPr="00251F3C" w:rsidRDefault="00CD44A8"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CD44A8" w:rsidRPr="00251F3C" w:rsidRDefault="00257C43" w:rsidP="00D25BBC">
            <w:pPr>
              <w:autoSpaceDE w:val="0"/>
              <w:autoSpaceDN w:val="0"/>
              <w:adjustRightInd w:val="0"/>
              <w:jc w:val="center"/>
              <w:rPr>
                <w:b/>
              </w:rPr>
            </w:pPr>
            <w:r>
              <w:rPr>
                <w:b/>
              </w:rPr>
              <w:t>3</w:t>
            </w:r>
          </w:p>
        </w:tc>
        <w:tc>
          <w:tcPr>
            <w:tcW w:w="577" w:type="dxa"/>
            <w:tcBorders>
              <w:top w:val="single" w:sz="4" w:space="0" w:color="auto"/>
              <w:left w:val="single" w:sz="4" w:space="0" w:color="auto"/>
              <w:bottom w:val="single" w:sz="4" w:space="0" w:color="auto"/>
              <w:right w:val="single" w:sz="4" w:space="0" w:color="auto"/>
            </w:tcBorders>
          </w:tcPr>
          <w:p w:rsidR="00CD44A8" w:rsidRDefault="00257C43" w:rsidP="00D25BBC">
            <w:pPr>
              <w:autoSpaceDE w:val="0"/>
              <w:autoSpaceDN w:val="0"/>
              <w:adjustRightInd w:val="0"/>
              <w:jc w:val="center"/>
              <w:rPr>
                <w:b/>
              </w:rPr>
            </w:pPr>
            <w:r>
              <w:rPr>
                <w:b/>
              </w:rPr>
              <w:t>9</w:t>
            </w:r>
          </w:p>
        </w:tc>
      </w:tr>
    </w:tbl>
    <w:p w:rsidR="00412D59" w:rsidRPr="007001F2" w:rsidRDefault="00412D59" w:rsidP="00412D59">
      <w:pPr>
        <w:autoSpaceDE w:val="0"/>
        <w:autoSpaceDN w:val="0"/>
        <w:adjustRightInd w:val="0"/>
        <w:jc w:val="both"/>
      </w:pPr>
    </w:p>
    <w:p w:rsidR="00412D59" w:rsidRPr="007001F2" w:rsidRDefault="00412D59" w:rsidP="00257C43">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r>
        <w:t xml:space="preserve">заявления </w:t>
      </w:r>
      <w:r w:rsidR="00257C43">
        <w:t>Гордеева Николая  Викторовича</w:t>
      </w:r>
      <w:r w:rsidR="00EB63F5">
        <w:t xml:space="preserve"> от </w:t>
      </w:r>
      <w:r w:rsidR="007C6D52">
        <w:t>0</w:t>
      </w:r>
      <w:r w:rsidR="00257C43">
        <w:t>3.04</w:t>
      </w:r>
      <w:r w:rsidR="00CD44A8">
        <w:t>.2018</w:t>
      </w:r>
      <w:r w:rsidR="00EB63F5">
        <w:t xml:space="preserve"> № </w:t>
      </w:r>
      <w:r w:rsidR="007C6D52">
        <w:t>1</w:t>
      </w:r>
      <w:r w:rsidR="00257C43">
        <w:t xml:space="preserve">488 </w:t>
      </w:r>
      <w:r w:rsidR="007C6D52">
        <w:t>(</w:t>
      </w:r>
      <w:r w:rsidR="00257C43">
        <w:t xml:space="preserve">собственника </w:t>
      </w:r>
      <w:r w:rsidR="007C6D52">
        <w:t xml:space="preserve"> земельного участка с кадастровым номером 37:20:010113:2</w:t>
      </w:r>
      <w:r w:rsidR="00257C43">
        <w:t>69</w:t>
      </w:r>
      <w:r w:rsidR="007C6D52">
        <w:t xml:space="preserve">)  </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C6D52">
        <w:t>д. Захарово</w:t>
      </w:r>
      <w:r w:rsidR="00257C43">
        <w:t>, дом 59</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257C43" w:rsidP="00CE0D5D">
            <w:pPr>
              <w:autoSpaceDE w:val="0"/>
              <w:autoSpaceDN w:val="0"/>
              <w:adjustRightInd w:val="0"/>
              <w:jc w:val="center"/>
            </w:pPr>
            <w:r>
              <w:t>294423.04</w:t>
            </w:r>
          </w:p>
        </w:tc>
        <w:tc>
          <w:tcPr>
            <w:tcW w:w="3191" w:type="dxa"/>
          </w:tcPr>
          <w:p w:rsidR="00E003F4" w:rsidRDefault="00257C43" w:rsidP="00CE0D5D">
            <w:pPr>
              <w:autoSpaceDE w:val="0"/>
              <w:autoSpaceDN w:val="0"/>
              <w:adjustRightInd w:val="0"/>
              <w:jc w:val="center"/>
            </w:pPr>
            <w:r>
              <w:t>237191.48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257C43" w:rsidP="00CE0D5D">
            <w:pPr>
              <w:autoSpaceDE w:val="0"/>
              <w:autoSpaceDN w:val="0"/>
              <w:adjustRightInd w:val="0"/>
              <w:jc w:val="center"/>
            </w:pPr>
            <w:r>
              <w:t>294399.67</w:t>
            </w:r>
          </w:p>
        </w:tc>
        <w:tc>
          <w:tcPr>
            <w:tcW w:w="3191" w:type="dxa"/>
          </w:tcPr>
          <w:p w:rsidR="00E003F4" w:rsidRDefault="00257C43" w:rsidP="00CE0D5D">
            <w:pPr>
              <w:autoSpaceDE w:val="0"/>
              <w:autoSpaceDN w:val="0"/>
              <w:adjustRightInd w:val="0"/>
              <w:jc w:val="center"/>
            </w:pPr>
            <w:r>
              <w:t>237191.47</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257C43" w:rsidP="00CE0D5D">
            <w:pPr>
              <w:autoSpaceDE w:val="0"/>
              <w:autoSpaceDN w:val="0"/>
              <w:adjustRightInd w:val="0"/>
              <w:jc w:val="center"/>
            </w:pPr>
            <w:r>
              <w:t>294399.80</w:t>
            </w:r>
          </w:p>
        </w:tc>
        <w:tc>
          <w:tcPr>
            <w:tcW w:w="3191" w:type="dxa"/>
          </w:tcPr>
          <w:p w:rsidR="00E003F4" w:rsidRDefault="00257C43" w:rsidP="00CE0D5D">
            <w:pPr>
              <w:autoSpaceDE w:val="0"/>
              <w:autoSpaceDN w:val="0"/>
              <w:adjustRightInd w:val="0"/>
              <w:jc w:val="center"/>
            </w:pPr>
            <w:r>
              <w:t>237236.96</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257C43" w:rsidP="00CE0D5D">
            <w:pPr>
              <w:autoSpaceDE w:val="0"/>
              <w:autoSpaceDN w:val="0"/>
              <w:adjustRightInd w:val="0"/>
              <w:jc w:val="center"/>
            </w:pPr>
            <w:r>
              <w:t>294423.02</w:t>
            </w:r>
          </w:p>
        </w:tc>
        <w:tc>
          <w:tcPr>
            <w:tcW w:w="3191" w:type="dxa"/>
          </w:tcPr>
          <w:p w:rsidR="00E003F4" w:rsidRDefault="009C1DB7" w:rsidP="00CE0D5D">
            <w:pPr>
              <w:autoSpaceDE w:val="0"/>
              <w:autoSpaceDN w:val="0"/>
              <w:adjustRightInd w:val="0"/>
              <w:jc w:val="center"/>
            </w:pPr>
            <w:r>
              <w:t>237237</w:t>
            </w:r>
          </w:p>
        </w:tc>
      </w:tr>
      <w:tr w:rsidR="005D0927" w:rsidTr="00E003F4">
        <w:tc>
          <w:tcPr>
            <w:tcW w:w="3190" w:type="dxa"/>
          </w:tcPr>
          <w:p w:rsidR="005D0927" w:rsidRDefault="005D0927" w:rsidP="00CE0D5D">
            <w:pPr>
              <w:autoSpaceDE w:val="0"/>
              <w:autoSpaceDN w:val="0"/>
              <w:adjustRightInd w:val="0"/>
              <w:jc w:val="center"/>
            </w:pPr>
            <w:r>
              <w:t>5</w:t>
            </w:r>
          </w:p>
        </w:tc>
        <w:tc>
          <w:tcPr>
            <w:tcW w:w="3190" w:type="dxa"/>
          </w:tcPr>
          <w:p w:rsidR="005D0927" w:rsidRDefault="00257C43" w:rsidP="00CE0D5D">
            <w:pPr>
              <w:autoSpaceDE w:val="0"/>
              <w:autoSpaceDN w:val="0"/>
              <w:adjustRightInd w:val="0"/>
              <w:jc w:val="center"/>
            </w:pPr>
            <w:r>
              <w:t>294416.65</w:t>
            </w:r>
          </w:p>
        </w:tc>
        <w:tc>
          <w:tcPr>
            <w:tcW w:w="3191" w:type="dxa"/>
          </w:tcPr>
          <w:p w:rsidR="005D0927" w:rsidRDefault="009C1DB7" w:rsidP="00CE0D5D">
            <w:pPr>
              <w:autoSpaceDE w:val="0"/>
              <w:autoSpaceDN w:val="0"/>
              <w:adjustRightInd w:val="0"/>
              <w:jc w:val="center"/>
            </w:pPr>
            <w:r>
              <w:t>237192.48</w:t>
            </w:r>
          </w:p>
        </w:tc>
      </w:tr>
      <w:tr w:rsidR="007C6D52" w:rsidTr="00E003F4">
        <w:tc>
          <w:tcPr>
            <w:tcW w:w="3190" w:type="dxa"/>
          </w:tcPr>
          <w:p w:rsidR="007C6D52" w:rsidRDefault="007C6D52" w:rsidP="00CE0D5D">
            <w:pPr>
              <w:autoSpaceDE w:val="0"/>
              <w:autoSpaceDN w:val="0"/>
              <w:adjustRightInd w:val="0"/>
              <w:jc w:val="center"/>
            </w:pPr>
            <w:r>
              <w:t>6</w:t>
            </w:r>
          </w:p>
        </w:tc>
        <w:tc>
          <w:tcPr>
            <w:tcW w:w="3190" w:type="dxa"/>
          </w:tcPr>
          <w:p w:rsidR="007C6D52" w:rsidRDefault="00257C43" w:rsidP="00CE0D5D">
            <w:pPr>
              <w:autoSpaceDE w:val="0"/>
              <w:autoSpaceDN w:val="0"/>
              <w:adjustRightInd w:val="0"/>
              <w:jc w:val="center"/>
            </w:pPr>
            <w:r>
              <w:t>294411.82</w:t>
            </w:r>
          </w:p>
        </w:tc>
        <w:tc>
          <w:tcPr>
            <w:tcW w:w="3191" w:type="dxa"/>
          </w:tcPr>
          <w:p w:rsidR="007C6D52" w:rsidRDefault="009C1DB7" w:rsidP="00CE0D5D">
            <w:pPr>
              <w:autoSpaceDE w:val="0"/>
              <w:autoSpaceDN w:val="0"/>
              <w:adjustRightInd w:val="0"/>
              <w:jc w:val="center"/>
            </w:pPr>
            <w:r>
              <w:t>237192.39</w:t>
            </w:r>
          </w:p>
        </w:tc>
      </w:tr>
      <w:tr w:rsidR="00257C43" w:rsidTr="00E003F4">
        <w:tc>
          <w:tcPr>
            <w:tcW w:w="3190" w:type="dxa"/>
          </w:tcPr>
          <w:p w:rsidR="00257C43" w:rsidRDefault="00257C43" w:rsidP="00CE0D5D">
            <w:pPr>
              <w:autoSpaceDE w:val="0"/>
              <w:autoSpaceDN w:val="0"/>
              <w:adjustRightInd w:val="0"/>
              <w:jc w:val="center"/>
            </w:pPr>
            <w:r>
              <w:t>7</w:t>
            </w:r>
          </w:p>
        </w:tc>
        <w:tc>
          <w:tcPr>
            <w:tcW w:w="3190" w:type="dxa"/>
          </w:tcPr>
          <w:p w:rsidR="00257C43" w:rsidRDefault="00257C43" w:rsidP="00CE0D5D">
            <w:pPr>
              <w:autoSpaceDE w:val="0"/>
              <w:autoSpaceDN w:val="0"/>
              <w:adjustRightInd w:val="0"/>
              <w:jc w:val="center"/>
            </w:pPr>
            <w:r>
              <w:t>294399.68</w:t>
            </w:r>
          </w:p>
        </w:tc>
        <w:tc>
          <w:tcPr>
            <w:tcW w:w="3191" w:type="dxa"/>
          </w:tcPr>
          <w:p w:rsidR="00257C43" w:rsidRDefault="009C1DB7" w:rsidP="00CE0D5D">
            <w:pPr>
              <w:autoSpaceDE w:val="0"/>
              <w:autoSpaceDN w:val="0"/>
              <w:adjustRightInd w:val="0"/>
              <w:jc w:val="center"/>
            </w:pPr>
            <w:r>
              <w:t>237193.60</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1576D5">
        <w:t>010113:2</w:t>
      </w:r>
      <w:r w:rsidR="009C1DB7">
        <w:t>69</w:t>
      </w:r>
    </w:p>
    <w:p w:rsidR="001C67D1" w:rsidRDefault="001C67D1" w:rsidP="00412D59">
      <w:pPr>
        <w:autoSpaceDE w:val="0"/>
        <w:autoSpaceDN w:val="0"/>
        <w:adjustRightInd w:val="0"/>
        <w:jc w:val="both"/>
      </w:pPr>
    </w:p>
    <w:p w:rsidR="008C0C8B" w:rsidRDefault="008C0C8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9C1DB7" w:rsidP="001C67D1">
      <w:pPr>
        <w:autoSpaceDE w:val="0"/>
        <w:autoSpaceDN w:val="0"/>
        <w:adjustRightInd w:val="0"/>
        <w:jc w:val="both"/>
      </w:pPr>
      <w:r>
        <w:t>1 060</w:t>
      </w:r>
      <w:r w:rsidR="001C67D1">
        <w:t>кв.м</w:t>
      </w:r>
    </w:p>
    <w:p w:rsidR="001C67D1" w:rsidRDefault="001C67D1" w:rsidP="001C67D1">
      <w:pPr>
        <w:autoSpaceDE w:val="0"/>
        <w:autoSpaceDN w:val="0"/>
        <w:adjustRightInd w:val="0"/>
        <w:jc w:val="both"/>
      </w:pPr>
    </w:p>
    <w:p w:rsidR="001576D5" w:rsidRDefault="001576D5" w:rsidP="001C67D1">
      <w:pPr>
        <w:autoSpaceDE w:val="0"/>
        <w:autoSpaceDN w:val="0"/>
        <w:adjustRightInd w:val="0"/>
        <w:jc w:val="both"/>
        <w:rPr>
          <w:b/>
        </w:rPr>
      </w:pPr>
    </w:p>
    <w:p w:rsidR="001576D5" w:rsidRDefault="001576D5" w:rsidP="001C67D1">
      <w:pPr>
        <w:autoSpaceDE w:val="0"/>
        <w:autoSpaceDN w:val="0"/>
        <w:adjustRightInd w:val="0"/>
        <w:jc w:val="both"/>
        <w:rPr>
          <w:b/>
        </w:rPr>
      </w:pPr>
    </w:p>
    <w:p w:rsidR="001576D5" w:rsidRDefault="001576D5"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576D5" w:rsidRDefault="001576D5" w:rsidP="001576D5">
      <w:pPr>
        <w:autoSpaceDE w:val="0"/>
        <w:autoSpaceDN w:val="0"/>
        <w:adjustRightInd w:val="0"/>
        <w:jc w:val="both"/>
      </w:pPr>
      <w:r>
        <w:t>Объекты капитального строительства отсутствуют</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E0D5D" w:rsidTr="0019274B">
        <w:tc>
          <w:tcPr>
            <w:tcW w:w="3190" w:type="dxa"/>
            <w:vMerge w:val="restart"/>
          </w:tcPr>
          <w:p w:rsidR="00CE0D5D" w:rsidRPr="00DF23CD" w:rsidRDefault="00CE0D5D" w:rsidP="0019274B">
            <w:pPr>
              <w:autoSpaceDE w:val="0"/>
              <w:autoSpaceDN w:val="0"/>
              <w:adjustRightInd w:val="0"/>
              <w:jc w:val="center"/>
            </w:pPr>
            <w:r w:rsidRPr="00DF23CD">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lang w:val="en-US"/>
              </w:rPr>
            </w:pPr>
            <w:r>
              <w:rPr>
                <w:lang w:val="en-US"/>
              </w:rPr>
              <w:t>X</w:t>
            </w:r>
          </w:p>
        </w:tc>
        <w:tc>
          <w:tcPr>
            <w:tcW w:w="3191" w:type="dxa"/>
          </w:tcPr>
          <w:p w:rsidR="00CE0D5D" w:rsidRPr="00DF23CD" w:rsidRDefault="00CE0D5D" w:rsidP="0019274B">
            <w:pPr>
              <w:autoSpaceDE w:val="0"/>
              <w:autoSpaceDN w:val="0"/>
              <w:adjustRightInd w:val="0"/>
              <w:jc w:val="center"/>
              <w:rPr>
                <w:lang w:val="en-US"/>
              </w:rPr>
            </w:pPr>
            <w:r>
              <w:rPr>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2B3B29">
        <w:t>8</w:t>
      </w:r>
      <w:r w:rsidR="00412D59">
        <w:t xml:space="preserve"> г. ООО «</w:t>
      </w:r>
      <w:proofErr w:type="spellStart"/>
      <w:r w:rsidR="002B3B29">
        <w:t>Ивановодорпроект</w:t>
      </w:r>
      <w:proofErr w:type="spellEnd"/>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DE2907">
        <w:t xml:space="preserve"> </w:t>
      </w:r>
      <w:r w:rsidR="00483AD2">
        <w:t xml:space="preserve">ООО </w:t>
      </w:r>
      <w:r w:rsidR="00AD4A99">
        <w:t>«</w:t>
      </w:r>
      <w:proofErr w:type="spellStart"/>
      <w:r w:rsidR="002B3B29">
        <w:t>Ивановодорпроект</w:t>
      </w:r>
      <w:proofErr w:type="spellEnd"/>
      <w:r w:rsidR="00AD4A99">
        <w:t>»</w:t>
      </w:r>
      <w:r w:rsidR="00DE2907">
        <w:t xml:space="preserve"> </w:t>
      </w:r>
      <w:r>
        <w:t>в 201</w:t>
      </w:r>
      <w:r w:rsidR="002B3B29">
        <w:t>8</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4609E" w:rsidRDefault="00985113" w:rsidP="008F21B8">
      <w:pPr>
        <w:autoSpaceDE w:val="0"/>
        <w:autoSpaceDN w:val="0"/>
        <w:adjustRightInd w:val="0"/>
        <w:ind w:firstLine="708"/>
        <w:jc w:val="both"/>
      </w:pPr>
      <w:r>
        <w:t>Земельный участок расположен в территориальной зоне "Ж-1"</w:t>
      </w:r>
      <w:r w:rsidR="00DE2907">
        <w:t xml:space="preserve"> </w:t>
      </w:r>
      <w:r>
        <w:t xml:space="preserve">- </w:t>
      </w:r>
      <w:r w:rsidR="0034609E">
        <w:t>«З</w:t>
      </w:r>
      <w:r>
        <w:t>она индивидуальной жилой застройки</w:t>
      </w:r>
      <w:r w:rsidR="0034609E">
        <w:t>»</w:t>
      </w:r>
      <w:r>
        <w:t xml:space="preserve">. </w:t>
      </w:r>
    </w:p>
    <w:p w:rsidR="00F72A97" w:rsidRDefault="00985113" w:rsidP="008F21B8">
      <w:pPr>
        <w:autoSpaceDE w:val="0"/>
        <w:autoSpaceDN w:val="0"/>
        <w:adjustRightInd w:val="0"/>
        <w:ind w:firstLine="708"/>
        <w:jc w:val="both"/>
      </w:pPr>
      <w:r>
        <w:t>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Шуйского муниципального района от </w:t>
      </w:r>
      <w:r w:rsidR="002B3B29">
        <w:t>08.12.2017</w:t>
      </w:r>
      <w:r>
        <w:t xml:space="preserve"> № </w:t>
      </w:r>
      <w:r w:rsidR="002B3B29">
        <w:t>117</w:t>
      </w:r>
      <w:r>
        <w:t xml:space="preserve">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34609E" w:rsidRDefault="0034609E" w:rsidP="008F21B8">
      <w:pPr>
        <w:autoSpaceDE w:val="0"/>
        <w:autoSpaceDN w:val="0"/>
        <w:adjustRightInd w:val="0"/>
        <w:ind w:firstLine="708"/>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w:t>
      </w:r>
      <w:r w:rsidR="002B3B29">
        <w:t xml:space="preserve">ведение огородничества; </w:t>
      </w:r>
      <w:r>
        <w:t>блокированная жилая застройка; отдых (рекреация);</w:t>
      </w:r>
      <w:r w:rsidR="002B3B29">
        <w:t xml:space="preserve"> ведение садоводства; ведение дачного </w:t>
      </w:r>
      <w:proofErr w:type="gramStart"/>
      <w:r w:rsidR="002B3B29">
        <w:t xml:space="preserve">хозяйства; </w:t>
      </w:r>
      <w:r>
        <w:t xml:space="preserve"> дошкольное</w:t>
      </w:r>
      <w:proofErr w:type="gramEnd"/>
      <w:r>
        <w:t xml:space="preserve">,  начальное и среднее общее образование; земельные участки </w:t>
      </w:r>
      <w:r w:rsidR="008F21B8">
        <w:t>(территории общего пользования)</w:t>
      </w:r>
      <w:r w:rsidR="002B3B29">
        <w:t>; автомобильный транспорт</w:t>
      </w:r>
      <w:r w:rsidR="008F21B8">
        <w:t>.</w:t>
      </w: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r w:rsidRPr="00014DA9">
        <w:t>г</w:t>
      </w:r>
      <w:r w:rsidR="005F4B7A" w:rsidRPr="00014DA9">
        <w:rPr>
          <w:noProof/>
        </w:rPr>
        <w:t>идротехнические сооружения</w:t>
      </w:r>
      <w:r>
        <w:rPr>
          <w:noProof/>
        </w:rPr>
        <w:t>;</w:t>
      </w:r>
      <w:r w:rsidR="00DE2907">
        <w:rPr>
          <w:noProof/>
        </w:rPr>
        <w:t xml:space="preserve"> </w:t>
      </w:r>
      <w:r>
        <w:rPr>
          <w:noProof/>
        </w:rPr>
        <w:t>р</w:t>
      </w:r>
      <w:r w:rsidR="005F4B7A" w:rsidRPr="00014DA9">
        <w:rPr>
          <w:noProof/>
        </w:rPr>
        <w:t>астениеводство</w:t>
      </w:r>
      <w:r>
        <w:rPr>
          <w:noProof/>
        </w:rPr>
        <w:t>;</w:t>
      </w:r>
      <w:r w:rsidR="00DE2907">
        <w:rPr>
          <w:noProof/>
        </w:rPr>
        <w:t xml:space="preserve"> </w:t>
      </w:r>
      <w:r>
        <w:rPr>
          <w:noProof/>
        </w:rPr>
        <w:t>в</w:t>
      </w:r>
      <w:r w:rsidR="005F4B7A" w:rsidRPr="00014DA9">
        <w:rPr>
          <w:noProof/>
        </w:rPr>
        <w:t>ыращивание зерновых и иных сельскохозяйственных культур</w:t>
      </w:r>
      <w:r>
        <w:rPr>
          <w:noProof/>
        </w:rPr>
        <w:t>;</w:t>
      </w:r>
      <w:r w:rsidR="00DE2907">
        <w:rPr>
          <w:noProof/>
        </w:rPr>
        <w:t xml:space="preserve"> </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w:t>
      </w:r>
      <w:r w:rsidR="00DE2907">
        <w:rPr>
          <w:noProof/>
        </w:rPr>
        <w:t xml:space="preserve"> </w:t>
      </w:r>
      <w:r>
        <w:rPr>
          <w:noProof/>
        </w:rPr>
        <w:t>ж</w:t>
      </w:r>
      <w:r w:rsidR="005F4B7A" w:rsidRPr="00014DA9">
        <w:rPr>
          <w:noProof/>
        </w:rPr>
        <w:t>ивотноводство</w:t>
      </w:r>
      <w:r>
        <w:rPr>
          <w:noProof/>
        </w:rPr>
        <w:t>;</w:t>
      </w:r>
      <w:r w:rsidR="00DE2907">
        <w:rPr>
          <w:noProof/>
        </w:rPr>
        <w:t xml:space="preserve"> </w:t>
      </w:r>
      <w:r>
        <w:rPr>
          <w:noProof/>
        </w:rPr>
        <w:t>с</w:t>
      </w:r>
      <w:r w:rsidR="00A33854" w:rsidRPr="00014DA9">
        <w:rPr>
          <w:noProof/>
        </w:rPr>
        <w:t>котоводство</w:t>
      </w:r>
      <w:r>
        <w:rPr>
          <w:noProof/>
        </w:rPr>
        <w:t>; з</w:t>
      </w:r>
      <w:r w:rsidR="00A33854" w:rsidRPr="00014DA9">
        <w:rPr>
          <w:noProof/>
        </w:rPr>
        <w:t>вероводство</w:t>
      </w:r>
      <w:r>
        <w:rPr>
          <w:noProof/>
        </w:rPr>
        <w:t>;</w:t>
      </w:r>
      <w:r w:rsidR="00DE2907">
        <w:rPr>
          <w:noProof/>
        </w:rPr>
        <w:t xml:space="preserve"> </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
    <w:p w:rsidR="008F21B8" w:rsidRDefault="0034609E" w:rsidP="0034609E">
      <w:pPr>
        <w:autoSpaceDE w:val="0"/>
        <w:autoSpaceDN w:val="0"/>
        <w:adjustRightInd w:val="0"/>
        <w:jc w:val="both"/>
      </w:pPr>
      <w:r>
        <w:rPr>
          <w:noProof/>
        </w:rPr>
        <w:tab/>
      </w:r>
      <w:r w:rsidR="00412D59" w:rsidRPr="00B10131">
        <w:rPr>
          <w:u w:val="single"/>
        </w:rPr>
        <w:t>-вспомогательные виды использования земельного участка</w:t>
      </w:r>
      <w:r w:rsidR="00412D59"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w:t>
      </w:r>
      <w:r w:rsidR="002B3B29">
        <w:t xml:space="preserve"> объекты гаражного назначения; </w:t>
      </w:r>
      <w:r>
        <w:t>х</w:t>
      </w:r>
      <w:r w:rsidR="00A33854" w:rsidRPr="00014DA9">
        <w:t>ранение и переработка сельскохозяйственной продукции</w:t>
      </w:r>
      <w:r>
        <w:t xml:space="preserve">; </w:t>
      </w:r>
      <w:r w:rsidR="002B3B29">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DE2907">
        <w:rPr>
          <w:b/>
        </w:rPr>
        <w:t xml:space="preserve"> </w:t>
      </w:r>
      <w:r w:rsidRPr="00412D59">
        <w:rPr>
          <w:b/>
        </w:rPr>
        <w:t>участка и предельные параметры  разрешенного  строительства,  реконструкции</w:t>
      </w:r>
      <w:r w:rsidR="00DE2907">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992"/>
        <w:gridCol w:w="851"/>
        <w:gridCol w:w="2693"/>
      </w:tblGrid>
      <w:tr w:rsidR="00FC5799" w:rsidRPr="003A577C" w:rsidTr="002569FE">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693"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Иные показатели</w:t>
            </w:r>
          </w:p>
        </w:tc>
      </w:tr>
      <w:tr w:rsidR="00FC5799" w:rsidRPr="003A577C" w:rsidTr="002569FE">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2"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693"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2569FE">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693"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2569FE">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w:t>
            </w:r>
            <w:r w:rsidR="00322366">
              <w:rPr>
                <w:noProof/>
                <w:sz w:val="22"/>
                <w:szCs w:val="22"/>
              </w:rPr>
              <w:t xml:space="preserve">земельного участка – 3 </w:t>
            </w:r>
            <w:r w:rsidR="00322366">
              <w:rPr>
                <w:noProof/>
                <w:sz w:val="22"/>
                <w:szCs w:val="22"/>
              </w:rPr>
              <w:lastRenderedPageBreak/>
              <w:t>м;</w:t>
            </w:r>
          </w:p>
          <w:p w:rsidR="00B1171C" w:rsidRDefault="00B1171C" w:rsidP="00CD1576">
            <w:pPr>
              <w:autoSpaceDE w:val="0"/>
              <w:autoSpaceDN w:val="0"/>
              <w:adjustRightInd w:val="0"/>
              <w:jc w:val="both"/>
              <w:rPr>
                <w:noProof/>
              </w:rPr>
            </w:pPr>
            <w:r>
              <w:rPr>
                <w:noProof/>
                <w:sz w:val="22"/>
                <w:szCs w:val="22"/>
              </w:rPr>
              <w:t>- отступ здания и сооружения общего пользования от границ садовых (дачных) участков – 4м;</w:t>
            </w:r>
          </w:p>
          <w:p w:rsidR="00D1365F" w:rsidRDefault="00D1365F" w:rsidP="00CD1576">
            <w:pPr>
              <w:autoSpaceDE w:val="0"/>
              <w:autoSpaceDN w:val="0"/>
              <w:adjustRightInd w:val="0"/>
              <w:jc w:val="both"/>
              <w:rPr>
                <w:noProof/>
              </w:rPr>
            </w:pPr>
            <w:r>
              <w:rPr>
                <w:noProof/>
                <w:sz w:val="22"/>
                <w:szCs w:val="22"/>
              </w:rPr>
              <w:t>- от границ земельного участка до отдельно стоящих вспомогательных строений (бани, гаражи, теплицы, туалеты и пр.) – 1 м;</w:t>
            </w:r>
          </w:p>
          <w:p w:rsidR="00322366" w:rsidRPr="00442DE1" w:rsidRDefault="00322366" w:rsidP="00322366">
            <w:pPr>
              <w:autoSpaceDE w:val="0"/>
              <w:autoSpaceDN w:val="0"/>
              <w:adjustRightInd w:val="0"/>
              <w:jc w:val="center"/>
            </w:pPr>
            <w:r w:rsidRPr="00442DE1">
              <w:rPr>
                <w:sz w:val="22"/>
                <w:szCs w:val="22"/>
              </w:rPr>
              <w:t xml:space="preserve">- от </w:t>
            </w:r>
            <w:r w:rsidR="00D1365F">
              <w:rPr>
                <w:sz w:val="22"/>
                <w:szCs w:val="22"/>
              </w:rPr>
              <w:t xml:space="preserve">границ земельного участка до </w:t>
            </w:r>
            <w:r w:rsidRPr="00442DE1">
              <w:rPr>
                <w:sz w:val="22"/>
                <w:szCs w:val="22"/>
              </w:rPr>
              <w:t>постро</w:t>
            </w:r>
            <w:r w:rsidR="00D1365F">
              <w:rPr>
                <w:sz w:val="22"/>
                <w:szCs w:val="22"/>
              </w:rPr>
              <w:t>ек</w:t>
            </w:r>
            <w:r w:rsidRPr="00442DE1">
              <w:rPr>
                <w:sz w:val="22"/>
                <w:szCs w:val="22"/>
              </w:rPr>
              <w:t xml:space="preserve"> для содержания скота и птицы – 4 м</w:t>
            </w:r>
          </w:p>
          <w:p w:rsidR="00FC5799" w:rsidRPr="00442DE1" w:rsidRDefault="00FC5799" w:rsidP="00D1365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2" w:type="dxa"/>
            <w:tcBorders>
              <w:top w:val="single" w:sz="4" w:space="0" w:color="auto"/>
              <w:left w:val="single" w:sz="4" w:space="0" w:color="auto"/>
              <w:bottom w:val="single" w:sz="4" w:space="0" w:color="auto"/>
              <w:right w:val="single" w:sz="4" w:space="0" w:color="auto"/>
            </w:tcBorders>
          </w:tcPr>
          <w:p w:rsidR="00CD1576" w:rsidRPr="00442DE1" w:rsidRDefault="00B1171C" w:rsidP="00CD1576">
            <w:pPr>
              <w:autoSpaceDE w:val="0"/>
              <w:autoSpaceDN w:val="0"/>
              <w:adjustRightInd w:val="0"/>
              <w:jc w:val="center"/>
            </w:pPr>
            <w:r>
              <w:rPr>
                <w:sz w:val="22"/>
                <w:szCs w:val="22"/>
              </w:rPr>
              <w:t>30 %</w:t>
            </w:r>
          </w:p>
          <w:p w:rsidR="00FC5799" w:rsidRPr="00442DE1" w:rsidRDefault="00FC5799" w:rsidP="00CD157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D1365F" w:rsidRDefault="00B1171C" w:rsidP="00D1365F">
            <w:pPr>
              <w:autoSpaceDE w:val="0"/>
              <w:autoSpaceDN w:val="0"/>
              <w:adjustRightInd w:val="0"/>
              <w:jc w:val="both"/>
            </w:pPr>
            <w:r>
              <w:rPr>
                <w:sz w:val="22"/>
                <w:szCs w:val="22"/>
              </w:rPr>
              <w:t>1)</w:t>
            </w:r>
            <w:r w:rsidR="00746693">
              <w:rPr>
                <w:sz w:val="22"/>
                <w:szCs w:val="22"/>
              </w:rPr>
              <w:t>В отдельных случаях допускается размещение индивидуальных жилых домов по красной линии улиц в условиях сложившейся застройки.</w:t>
            </w:r>
            <w:r>
              <w:rPr>
                <w:sz w:val="22"/>
                <w:szCs w:val="22"/>
              </w:rPr>
              <w:t>2)</w:t>
            </w:r>
            <w:r w:rsidR="00D1365F">
              <w:rPr>
                <w:sz w:val="22"/>
                <w:szCs w:val="22"/>
              </w:rPr>
              <w:t>Требования к вспомогательным строениям:</w:t>
            </w:r>
          </w:p>
          <w:p w:rsidR="00B1171C" w:rsidRDefault="00D1365F" w:rsidP="00D1365F">
            <w:pPr>
              <w:autoSpaceDE w:val="0"/>
              <w:autoSpaceDN w:val="0"/>
              <w:adjustRightInd w:val="0"/>
              <w:jc w:val="both"/>
            </w:pPr>
            <w:r>
              <w:rPr>
                <w:sz w:val="22"/>
                <w:szCs w:val="22"/>
              </w:rPr>
              <w:t>-в</w:t>
            </w:r>
            <w:r w:rsidR="00B1171C" w:rsidRPr="00442DE1">
              <w:rPr>
                <w:sz w:val="22"/>
                <w:szCs w:val="22"/>
              </w:rPr>
              <w:t xml:space="preserve">спомогательные строения, за исключением гаражей, размещать со стороны улиц, не </w:t>
            </w:r>
            <w:r w:rsidR="00B1171C" w:rsidRPr="00442DE1">
              <w:rPr>
                <w:sz w:val="22"/>
                <w:szCs w:val="22"/>
              </w:rPr>
              <w:lastRenderedPageBreak/>
              <w:t>допускается</w:t>
            </w:r>
            <w:r>
              <w:rPr>
                <w:sz w:val="22"/>
                <w:szCs w:val="22"/>
              </w:rPr>
              <w:t>;</w:t>
            </w:r>
          </w:p>
          <w:p w:rsidR="00D1365F" w:rsidRDefault="00D1365F" w:rsidP="00D1365F">
            <w:pPr>
              <w:autoSpaceDE w:val="0"/>
              <w:autoSpaceDN w:val="0"/>
              <w:adjustRightInd w:val="0"/>
              <w:jc w:val="both"/>
            </w:pPr>
            <w:r>
              <w:rPr>
                <w:sz w:val="22"/>
                <w:szCs w:val="22"/>
              </w:rPr>
              <w:t>- 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D1365F" w:rsidRDefault="00D1365F" w:rsidP="00D1365F">
            <w:pPr>
              <w:autoSpaceDE w:val="0"/>
              <w:autoSpaceDN w:val="0"/>
              <w:adjustRightInd w:val="0"/>
              <w:jc w:val="both"/>
            </w:pPr>
            <w:r>
              <w:rPr>
                <w:sz w:val="22"/>
                <w:szCs w:val="22"/>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B1171C" w:rsidRPr="00B23306" w:rsidRDefault="00B1171C" w:rsidP="00D1365F">
            <w:pPr>
              <w:autoSpaceDE w:val="0"/>
              <w:autoSpaceDN w:val="0"/>
              <w:adjustRightInd w:val="0"/>
              <w:jc w:val="both"/>
              <w:rPr>
                <w:noProof/>
                <w:sz w:val="20"/>
                <w:szCs w:val="20"/>
              </w:rPr>
            </w:pPr>
            <w:r>
              <w:rPr>
                <w:noProof/>
                <w:sz w:val="20"/>
                <w:szCs w:val="20"/>
              </w:rPr>
              <w:t>3)</w:t>
            </w:r>
            <w:r w:rsidRPr="00B23306">
              <w:rPr>
                <w:noProof/>
                <w:sz w:val="20"/>
                <w:szCs w:val="20"/>
              </w:rPr>
              <w:t>Требования к  ограждению земельных  участков индивидуальных жилых домов:</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максимальная высота ограждений – 2 метра; </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B1171C" w:rsidRPr="00C116E4" w:rsidRDefault="00B1171C" w:rsidP="00D1365F">
            <w:pPr>
              <w:autoSpaceDE w:val="0"/>
              <w:autoSpaceDN w:val="0"/>
              <w:adjustRightInd w:val="0"/>
              <w:jc w:val="both"/>
              <w:rPr>
                <w:noProof/>
                <w:sz w:val="20"/>
                <w:szCs w:val="20"/>
              </w:rPr>
            </w:pPr>
            <w:r>
              <w:rPr>
                <w:noProof/>
                <w:sz w:val="20"/>
                <w:szCs w:val="20"/>
              </w:rPr>
              <w:t>4)</w:t>
            </w:r>
            <w:r w:rsidRPr="00C116E4">
              <w:rPr>
                <w:noProof/>
                <w:sz w:val="20"/>
                <w:szCs w:val="20"/>
              </w:rPr>
              <w:t xml:space="preserve">Требования к ограждениям садовых (дачных) земельных участков: </w:t>
            </w:r>
          </w:p>
          <w:p w:rsidR="00B1171C" w:rsidRPr="00C116E4" w:rsidRDefault="00B1171C" w:rsidP="00D1365F">
            <w:pPr>
              <w:autoSpaceDE w:val="0"/>
              <w:autoSpaceDN w:val="0"/>
              <w:adjustRightInd w:val="0"/>
              <w:jc w:val="both"/>
              <w:rPr>
                <w:noProof/>
                <w:sz w:val="20"/>
                <w:szCs w:val="20"/>
              </w:rPr>
            </w:pPr>
            <w:r w:rsidRPr="00C116E4">
              <w:rPr>
                <w:noProof/>
                <w:sz w:val="20"/>
                <w:szCs w:val="20"/>
              </w:rPr>
              <w:t xml:space="preserve"> максимальная высота – 1,5 м; </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1171C" w:rsidRDefault="00B1171C" w:rsidP="00D1365F">
            <w:pPr>
              <w:autoSpaceDE w:val="0"/>
              <w:autoSpaceDN w:val="0"/>
              <w:adjustRightInd w:val="0"/>
              <w:jc w:val="both"/>
              <w:rPr>
                <w:noProof/>
                <w:sz w:val="20"/>
                <w:szCs w:val="20"/>
              </w:rPr>
            </w:pPr>
            <w:r>
              <w:rPr>
                <w:noProof/>
                <w:sz w:val="20"/>
                <w:szCs w:val="20"/>
              </w:rPr>
              <w:t>4)Требования к ограждению земельных участков:</w:t>
            </w:r>
          </w:p>
          <w:p w:rsidR="00B1171C" w:rsidRDefault="00B1171C" w:rsidP="00D1365F">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746693" w:rsidRPr="00442DE1" w:rsidRDefault="00B1171C" w:rsidP="002569FE">
            <w:pPr>
              <w:autoSpaceDE w:val="0"/>
              <w:autoSpaceDN w:val="0"/>
              <w:adjustRightInd w:val="0"/>
              <w:jc w:val="both"/>
            </w:pPr>
            <w:r>
              <w:rPr>
                <w:noProof/>
                <w:sz w:val="20"/>
                <w:szCs w:val="20"/>
              </w:rPr>
              <w:t>-высота ограждения земельных участков должна быть не более 2м.</w:t>
            </w:r>
          </w:p>
        </w:tc>
      </w:tr>
    </w:tbl>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34609E" w:rsidRPr="003F6A7D" w:rsidRDefault="0034609E" w:rsidP="0034609E">
      <w:pPr>
        <w:autoSpaceDE w:val="0"/>
        <w:autoSpaceDN w:val="0"/>
        <w:adjustRightInd w:val="0"/>
        <w:jc w:val="both"/>
      </w:pPr>
      <w:r>
        <w:t>Не имеется</w:t>
      </w:r>
    </w:p>
    <w:p w:rsidR="002569FE" w:rsidRPr="00746693" w:rsidRDefault="002569FE" w:rsidP="00B70D8E">
      <w:pPr>
        <w:autoSpaceDE w:val="0"/>
        <w:autoSpaceDN w:val="0"/>
        <w:adjustRightInd w:val="0"/>
        <w:jc w:val="both"/>
      </w:pP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w:t>
      </w:r>
      <w:r w:rsidR="00DE2907">
        <w:rPr>
          <w:b/>
        </w:rPr>
        <w:t xml:space="preserve"> </w:t>
      </w:r>
      <w:r w:rsidRPr="006B7256">
        <w:rPr>
          <w:b/>
        </w:rPr>
        <w:t>культурного  наследия  (памятников  истории  и культуры) народов Российской</w:t>
      </w:r>
      <w:r w:rsidR="00DE2907">
        <w:rPr>
          <w:b/>
        </w:rPr>
        <w:t xml:space="preserve"> </w:t>
      </w:r>
      <w:r w:rsidRPr="006B7256">
        <w:rPr>
          <w:b/>
        </w:rPr>
        <w:t>Федерации</w:t>
      </w:r>
      <w:r w:rsidR="0099429A">
        <w:rPr>
          <w:b/>
        </w:rPr>
        <w:t>.</w:t>
      </w:r>
    </w:p>
    <w:p w:rsidR="00795DB6" w:rsidRDefault="00795DB6" w:rsidP="00795DB6">
      <w:pPr>
        <w:autoSpaceDE w:val="0"/>
        <w:autoSpaceDN w:val="0"/>
        <w:adjustRightInd w:val="0"/>
        <w:rPr>
          <w:b/>
        </w:rPr>
      </w:pP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Pr="002C44D1" w:rsidRDefault="00412D59" w:rsidP="002C44D1">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34609E" w:rsidRDefault="0034609E" w:rsidP="002C44D1">
      <w:pPr>
        <w:widowControl w:val="0"/>
        <w:autoSpaceDE w:val="0"/>
        <w:autoSpaceDN w:val="0"/>
        <w:jc w:val="both"/>
        <w:rPr>
          <w:b/>
          <w:szCs w:val="20"/>
        </w:rPr>
      </w:pPr>
    </w:p>
    <w:p w:rsidR="0034609E" w:rsidRDefault="0034609E" w:rsidP="002C44D1">
      <w:pPr>
        <w:widowControl w:val="0"/>
        <w:autoSpaceDE w:val="0"/>
        <w:autoSpaceDN w:val="0"/>
        <w:jc w:val="both"/>
        <w:rPr>
          <w:b/>
          <w:szCs w:val="20"/>
        </w:rPr>
      </w:pPr>
    </w:p>
    <w:p w:rsidR="0034609E" w:rsidRDefault="0034609E"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7839D2" w:rsidRDefault="007839D2" w:rsidP="007839D2">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839D2" w:rsidRDefault="007839D2" w:rsidP="007839D2">
      <w:pPr>
        <w:pStyle w:val="ConsPlusNormal"/>
        <w:jc w:val="both"/>
        <w:rPr>
          <w:b/>
        </w:rPr>
      </w:pPr>
    </w:p>
    <w:p w:rsidR="007839D2" w:rsidRDefault="007839D2" w:rsidP="007839D2">
      <w:pPr>
        <w:autoSpaceDE w:val="0"/>
        <w:autoSpaceDN w:val="0"/>
        <w:adjustRightInd w:val="0"/>
        <w:jc w:val="both"/>
      </w:pPr>
      <w:r>
        <w:t>5.</w:t>
      </w:r>
      <w:proofErr w:type="gramStart"/>
      <w:r>
        <w:t>1.Земельный</w:t>
      </w:r>
      <w:proofErr w:type="gramEnd"/>
      <w:r>
        <w:t xml:space="preserve"> участок с кадастровым номером 37:20:010113:269  частично расположен в границе </w:t>
      </w:r>
      <w:proofErr w:type="spellStart"/>
      <w:r>
        <w:t>водоохранной</w:t>
      </w:r>
      <w:proofErr w:type="spellEnd"/>
      <w:r>
        <w:t xml:space="preserve"> зоны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д.Захарово, площадь земельного участка, покрываемая зоной с особыми условиями использования территории - 1039 кв.м.</w:t>
      </w:r>
    </w:p>
    <w:p w:rsidR="007839D2" w:rsidRPr="00426223" w:rsidRDefault="007839D2" w:rsidP="007839D2">
      <w:pPr>
        <w:autoSpaceDE w:val="0"/>
        <w:autoSpaceDN w:val="0"/>
        <w:adjustRightInd w:val="0"/>
        <w:jc w:val="both"/>
        <w:rPr>
          <w:b/>
        </w:rPr>
      </w:pPr>
      <w:r>
        <w:t>Ограничения прав на земельный участок предусмотрены статьями 56 Земельного кодекса Российской Федерации, ст. 65.1 Водного кодекса РФ  (</w:t>
      </w:r>
      <w:proofErr w:type="spellStart"/>
      <w:r w:rsidRPr="00426223">
        <w:t>Водоохранная</w:t>
      </w:r>
      <w:proofErr w:type="spellEnd"/>
      <w:r w:rsidRPr="00426223">
        <w:t xml:space="preserve"> зона реки Теза в границах населенных пунктовШуйского муниципального района Ивановской области (</w:t>
      </w:r>
      <w:proofErr w:type="spellStart"/>
      <w:r w:rsidRPr="00426223">
        <w:t>Дунилово,Горицы,Егорий,Захарово,ЗеленыйБор,Змеево,Ильинское</w:t>
      </w:r>
      <w:proofErr w:type="spellEnd"/>
      <w:r w:rsidRPr="00426223">
        <w:t xml:space="preserve">, </w:t>
      </w:r>
      <w:proofErr w:type="spellStart"/>
      <w:r w:rsidRPr="00426223">
        <w:t>Косячево</w:t>
      </w:r>
      <w:proofErr w:type="spellEnd"/>
      <w:r w:rsidRPr="00426223">
        <w:t xml:space="preserve">, Красноармейское, </w:t>
      </w:r>
      <w:proofErr w:type="spellStart"/>
      <w:r w:rsidRPr="00426223">
        <w:t>Марково,Семиново,Сергеево,Филино,Чернцы</w:t>
      </w:r>
      <w:proofErr w:type="spellEnd"/>
      <w:r w:rsidRPr="00426223">
        <w:t xml:space="preserve">, </w:t>
      </w:r>
      <w:proofErr w:type="spellStart"/>
      <w:r w:rsidRPr="00426223">
        <w:t>Панютино,</w:t>
      </w:r>
      <w:r>
        <w:t>Я</w:t>
      </w:r>
      <w:r w:rsidRPr="00426223">
        <w:t>куш</w:t>
      </w:r>
      <w:r>
        <w:t>ево</w:t>
      </w:r>
      <w:proofErr w:type="spellEnd"/>
      <w:r>
        <w:t>)</w:t>
      </w:r>
      <w:r w:rsidRPr="00426223">
        <w:t xml:space="preserve"> зона с особыми условиями использования территорий, № 1, 37.20.2.148, Водный кодекс РФ № 74-ФЗ от 03.06.2006</w:t>
      </w:r>
      <w:r>
        <w:t>).</w:t>
      </w:r>
    </w:p>
    <w:p w:rsidR="007839D2" w:rsidRDefault="007839D2" w:rsidP="007839D2">
      <w:pPr>
        <w:autoSpaceDE w:val="0"/>
        <w:autoSpaceDN w:val="0"/>
        <w:adjustRightInd w:val="0"/>
        <w:jc w:val="both"/>
      </w:pPr>
      <w:r>
        <w:t>5.2</w:t>
      </w:r>
      <w:r w:rsidRPr="00426223">
        <w:t xml:space="preserve">. В границах </w:t>
      </w:r>
      <w:proofErr w:type="spellStart"/>
      <w:r w:rsidRPr="00426223">
        <w:t>водоохранных</w:t>
      </w:r>
      <w:proofErr w:type="spellEnd"/>
      <w:r w:rsidRPr="00426223">
        <w:t xml:space="preserve"> зон запрещаются: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w:t>
      </w:r>
      <w:r>
        <w:t>ых</w:t>
      </w:r>
      <w:r w:rsidRPr="00426223">
        <w:t xml:space="preserve"> отходов; 3) осуществление авиационных мер по борьбе с вредными организмами; 4) движение и стоянка транспортных средств (кроме специальных транспорт</w:t>
      </w:r>
      <w:r>
        <w:t>ных</w:t>
      </w:r>
      <w:r w:rsidRPr="00426223">
        <w:t xml:space="preserve">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w:t>
      </w:r>
      <w:r>
        <w:t>лов</w:t>
      </w:r>
      <w:r w:rsidRPr="00426223">
        <w:t xml:space="preserve">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w:t>
      </w:r>
      <w:r w:rsidRPr="00426223">
        <w:lastRenderedPageBreak/>
        <w:t>области охраны окружающей среды и настоящего Кодекса), станций технического обслужива</w:t>
      </w:r>
      <w:r>
        <w:t>ния, используемых для технического</w:t>
      </w:r>
      <w:r w:rsidRPr="00426223">
        <w:t xml:space="preserve">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426223">
        <w:t>агрохимикатов</w:t>
      </w:r>
      <w:proofErr w:type="spellEnd"/>
      <w:r w:rsidRPr="00426223">
        <w:t xml:space="preserve">, применение пестицидов и </w:t>
      </w:r>
      <w:proofErr w:type="spellStart"/>
      <w:r w:rsidRPr="00426223">
        <w:t>агрохимикатов</w:t>
      </w:r>
      <w:proofErr w:type="spellEnd"/>
      <w:r w:rsidRPr="00426223">
        <w:t xml:space="preserve">; 7) сброс сточных, в том числе дренажных, вод; 8) разведка и добыча общераспространенных </w:t>
      </w:r>
      <w:proofErr w:type="spellStart"/>
      <w:r w:rsidRPr="00426223">
        <w:t>полезнь</w:t>
      </w:r>
      <w:proofErr w:type="spellEnd"/>
      <w:r w:rsidRPr="00426223">
        <w:t xml:space="preserve">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7839D2" w:rsidRDefault="007839D2" w:rsidP="007839D2">
      <w:pPr>
        <w:autoSpaceDE w:val="0"/>
        <w:autoSpaceDN w:val="0"/>
        <w:adjustRightInd w:val="0"/>
        <w:jc w:val="both"/>
      </w:pPr>
      <w:r w:rsidRPr="00426223">
        <w:t xml:space="preserve">2. В границах </w:t>
      </w:r>
      <w:proofErr w:type="spellStart"/>
      <w:r w:rsidRPr="00426223">
        <w:t>водоохранных</w:t>
      </w:r>
      <w:proofErr w:type="spellEnd"/>
      <w:r w:rsidRPr="00426223">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w:t>
      </w:r>
      <w:r>
        <w:t>х</w:t>
      </w:r>
      <w:r w:rsidRPr="00426223">
        <w:t xml:space="preserve">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 окружающей среды. Выбор типа сооружения, обеспечивающего охрану водного объекта от загрязнения, засорения, заиления и истощения вод, осуществляется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водоотведения; 2) сооружения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w:t>
      </w:r>
      <w:r>
        <w:t>ния</w:t>
      </w:r>
      <w:r w:rsidRPr="00426223">
        <w:t xml:space="preserve"> и системы для отведения (сброса) сточных вод (в том числе дождевых, талых, инфильтрационных, поливомоечных и дренажных вод) в приемники, изготовлен</w:t>
      </w:r>
      <w:r>
        <w:t>ные</w:t>
      </w:r>
      <w:r w:rsidRPr="00426223">
        <w:t xml:space="preserve"> из водонепроницаемых материалов.</w:t>
      </w:r>
    </w:p>
    <w:p w:rsidR="007839D2" w:rsidRDefault="007839D2" w:rsidP="007839D2">
      <w:pPr>
        <w:autoSpaceDE w:val="0"/>
        <w:autoSpaceDN w:val="0"/>
        <w:adjustRightInd w:val="0"/>
        <w:jc w:val="both"/>
      </w:pPr>
    </w:p>
    <w:p w:rsidR="007839D2" w:rsidRDefault="007839D2" w:rsidP="007839D2">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268"/>
        <w:gridCol w:w="1417"/>
        <w:gridCol w:w="1276"/>
      </w:tblGrid>
      <w:tr w:rsidR="007839D2" w:rsidTr="007839D2">
        <w:tc>
          <w:tcPr>
            <w:tcW w:w="4457" w:type="dxa"/>
            <w:vMerge w:val="restart"/>
          </w:tcPr>
          <w:p w:rsidR="007839D2" w:rsidRPr="007265BD" w:rsidRDefault="007839D2" w:rsidP="00DE0B8C">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4961" w:type="dxa"/>
            <w:gridSpan w:val="3"/>
          </w:tcPr>
          <w:p w:rsidR="007839D2" w:rsidRPr="007265BD" w:rsidRDefault="007839D2" w:rsidP="00DE0B8C">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839D2" w:rsidTr="007839D2">
        <w:tc>
          <w:tcPr>
            <w:tcW w:w="4457" w:type="dxa"/>
            <w:vMerge/>
          </w:tcPr>
          <w:p w:rsidR="007839D2" w:rsidRPr="007265BD" w:rsidRDefault="007839D2" w:rsidP="00DE0B8C"/>
        </w:tc>
        <w:tc>
          <w:tcPr>
            <w:tcW w:w="2268" w:type="dxa"/>
          </w:tcPr>
          <w:p w:rsidR="007839D2" w:rsidRPr="007265BD" w:rsidRDefault="007839D2" w:rsidP="00DE0B8C">
            <w:pPr>
              <w:pStyle w:val="ConsPlusNormal"/>
              <w:jc w:val="center"/>
              <w:rPr>
                <w:sz w:val="22"/>
                <w:szCs w:val="22"/>
              </w:rPr>
            </w:pPr>
            <w:r w:rsidRPr="007265BD">
              <w:rPr>
                <w:sz w:val="22"/>
                <w:szCs w:val="22"/>
              </w:rPr>
              <w:t>Обозначение (номер) характерной точки</w:t>
            </w:r>
          </w:p>
        </w:tc>
        <w:tc>
          <w:tcPr>
            <w:tcW w:w="1417" w:type="dxa"/>
          </w:tcPr>
          <w:p w:rsidR="007839D2" w:rsidRPr="007265BD" w:rsidRDefault="007839D2" w:rsidP="00DE0B8C">
            <w:pPr>
              <w:pStyle w:val="ConsPlusNormal"/>
              <w:jc w:val="center"/>
              <w:rPr>
                <w:sz w:val="22"/>
                <w:szCs w:val="22"/>
              </w:rPr>
            </w:pPr>
            <w:r w:rsidRPr="007265BD">
              <w:rPr>
                <w:sz w:val="22"/>
                <w:szCs w:val="22"/>
              </w:rPr>
              <w:t>X</w:t>
            </w:r>
          </w:p>
        </w:tc>
        <w:tc>
          <w:tcPr>
            <w:tcW w:w="1276" w:type="dxa"/>
          </w:tcPr>
          <w:p w:rsidR="007839D2" w:rsidRPr="007265BD" w:rsidRDefault="007839D2" w:rsidP="00DE0B8C">
            <w:pPr>
              <w:pStyle w:val="ConsPlusNormal"/>
              <w:jc w:val="center"/>
              <w:rPr>
                <w:sz w:val="22"/>
                <w:szCs w:val="22"/>
              </w:rPr>
            </w:pPr>
            <w:r w:rsidRPr="007265BD">
              <w:rPr>
                <w:sz w:val="22"/>
                <w:szCs w:val="22"/>
              </w:rPr>
              <w:t>Y</w:t>
            </w:r>
          </w:p>
        </w:tc>
      </w:tr>
      <w:tr w:rsidR="007839D2" w:rsidTr="007839D2">
        <w:tc>
          <w:tcPr>
            <w:tcW w:w="4457" w:type="dxa"/>
          </w:tcPr>
          <w:p w:rsidR="007839D2" w:rsidRPr="007265BD" w:rsidRDefault="007839D2" w:rsidP="00DE0B8C">
            <w:pPr>
              <w:pStyle w:val="ConsPlusNormal"/>
              <w:jc w:val="center"/>
              <w:rPr>
                <w:sz w:val="22"/>
                <w:szCs w:val="22"/>
              </w:rPr>
            </w:pPr>
            <w:r w:rsidRPr="007265BD">
              <w:rPr>
                <w:sz w:val="22"/>
                <w:szCs w:val="22"/>
              </w:rPr>
              <w:t>1</w:t>
            </w:r>
          </w:p>
        </w:tc>
        <w:tc>
          <w:tcPr>
            <w:tcW w:w="2268" w:type="dxa"/>
          </w:tcPr>
          <w:p w:rsidR="007839D2" w:rsidRPr="007265BD" w:rsidRDefault="007839D2" w:rsidP="00DE0B8C">
            <w:pPr>
              <w:pStyle w:val="ConsPlusNormal"/>
              <w:jc w:val="center"/>
              <w:rPr>
                <w:sz w:val="22"/>
                <w:szCs w:val="22"/>
              </w:rPr>
            </w:pPr>
            <w:r w:rsidRPr="007265BD">
              <w:rPr>
                <w:sz w:val="22"/>
                <w:szCs w:val="22"/>
              </w:rPr>
              <w:t>2</w:t>
            </w:r>
          </w:p>
        </w:tc>
        <w:tc>
          <w:tcPr>
            <w:tcW w:w="1417" w:type="dxa"/>
          </w:tcPr>
          <w:p w:rsidR="007839D2" w:rsidRPr="007265BD" w:rsidRDefault="007839D2" w:rsidP="00DE0B8C">
            <w:pPr>
              <w:pStyle w:val="ConsPlusNormal"/>
              <w:jc w:val="center"/>
              <w:rPr>
                <w:sz w:val="22"/>
                <w:szCs w:val="22"/>
              </w:rPr>
            </w:pPr>
            <w:r w:rsidRPr="007265BD">
              <w:rPr>
                <w:sz w:val="22"/>
                <w:szCs w:val="22"/>
              </w:rPr>
              <w:t>3</w:t>
            </w:r>
          </w:p>
        </w:tc>
        <w:tc>
          <w:tcPr>
            <w:tcW w:w="1276" w:type="dxa"/>
          </w:tcPr>
          <w:p w:rsidR="007839D2" w:rsidRPr="007265BD" w:rsidRDefault="007839D2" w:rsidP="00DE0B8C">
            <w:pPr>
              <w:pStyle w:val="ConsPlusNormal"/>
              <w:jc w:val="center"/>
              <w:rPr>
                <w:sz w:val="22"/>
                <w:szCs w:val="22"/>
              </w:rPr>
            </w:pPr>
            <w:r w:rsidRPr="007265BD">
              <w:rPr>
                <w:sz w:val="22"/>
                <w:szCs w:val="22"/>
              </w:rPr>
              <w:t>4</w:t>
            </w:r>
          </w:p>
        </w:tc>
      </w:tr>
      <w:tr w:rsidR="007839D2" w:rsidTr="007839D2">
        <w:tc>
          <w:tcPr>
            <w:tcW w:w="4457" w:type="dxa"/>
          </w:tcPr>
          <w:p w:rsidR="007839D2" w:rsidRPr="007265BD" w:rsidRDefault="007839D2" w:rsidP="007839D2">
            <w:pPr>
              <w:autoSpaceDE w:val="0"/>
              <w:autoSpaceDN w:val="0"/>
              <w:adjustRightInd w:val="0"/>
              <w:jc w:val="both"/>
            </w:pPr>
            <w:proofErr w:type="spellStart"/>
            <w:r>
              <w:t>Водоохранная</w:t>
            </w:r>
            <w:proofErr w:type="spellEnd"/>
            <w:r>
              <w:t xml:space="preserve"> зона реки Теза </w:t>
            </w:r>
            <w:r w:rsidRPr="00426223">
              <w:t>в границах населенн</w:t>
            </w:r>
            <w:r>
              <w:t>ых</w:t>
            </w:r>
            <w:r w:rsidRPr="00426223">
              <w:t xml:space="preserve"> пункт</w:t>
            </w:r>
            <w:r>
              <w:t xml:space="preserve">ов </w:t>
            </w:r>
            <w:r w:rsidRPr="00426223">
              <w:t>Шуйского муниципального района Ивановской области</w:t>
            </w:r>
            <w:r>
              <w:t xml:space="preserve"> (установлена для земельного участка с кадастровым номером 37:20:010113:269)</w:t>
            </w:r>
          </w:p>
        </w:tc>
        <w:tc>
          <w:tcPr>
            <w:tcW w:w="2268" w:type="dxa"/>
          </w:tcPr>
          <w:p w:rsidR="007839D2" w:rsidRPr="00C30942" w:rsidRDefault="007839D2" w:rsidP="00DE0B8C">
            <w:pPr>
              <w:autoSpaceDE w:val="0"/>
              <w:autoSpaceDN w:val="0"/>
              <w:adjustRightInd w:val="0"/>
              <w:jc w:val="center"/>
            </w:pPr>
            <w:r>
              <w:t>данные отсутствуют</w:t>
            </w:r>
          </w:p>
        </w:tc>
        <w:tc>
          <w:tcPr>
            <w:tcW w:w="1417" w:type="dxa"/>
          </w:tcPr>
          <w:p w:rsidR="007839D2" w:rsidRDefault="007839D2" w:rsidP="00DE0B8C">
            <w:r w:rsidRPr="000B0649">
              <w:t>данные отсутствуют</w:t>
            </w:r>
          </w:p>
        </w:tc>
        <w:tc>
          <w:tcPr>
            <w:tcW w:w="1276" w:type="dxa"/>
          </w:tcPr>
          <w:p w:rsidR="007839D2" w:rsidRDefault="007839D2" w:rsidP="00DE0B8C">
            <w:r w:rsidRPr="000B0649">
              <w:t>данные отсутствуют</w:t>
            </w:r>
          </w:p>
        </w:tc>
      </w:tr>
    </w:tbl>
    <w:p w:rsid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2569FE" w:rsidRPr="00E30CDA" w:rsidRDefault="002569FE" w:rsidP="007265BD">
      <w:pPr>
        <w:pStyle w:val="ConsPlusNonformat"/>
        <w:jc w:val="both"/>
        <w:rPr>
          <w:rFonts w:ascii="Times New Roman" w:hAnsi="Times New Roman" w:cs="Times New Roman"/>
          <w:b/>
          <w:sz w:val="24"/>
          <w:szCs w:val="24"/>
        </w:rPr>
      </w:pPr>
    </w:p>
    <w:p w:rsidR="00E30CDA" w:rsidRDefault="00E30CDA" w:rsidP="00E30CDA">
      <w:pPr>
        <w:autoSpaceDE w:val="0"/>
        <w:autoSpaceDN w:val="0"/>
        <w:adjustRightInd w:val="0"/>
      </w:pPr>
      <w:r w:rsidRPr="003A577C">
        <w:t>Информация отсутствует</w:t>
      </w:r>
    </w:p>
    <w:p w:rsidR="002569FE" w:rsidRDefault="002569FE"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1" w:name="P343"/>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2569FE" w:rsidRDefault="002569FE"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DE2907">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DE2907">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DE2907">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DE2907">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2569FE" w:rsidRDefault="002569FE"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3" w:name="P353"/>
      <w:bookmarkEnd w:id="13"/>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4" w:name="P358"/>
      <w:bookmarkEnd w:id="14"/>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2569FE" w:rsidRDefault="002569FE"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2569FE" w:rsidRDefault="002569FE"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0D38"/>
    <w:rsid w:val="00014DA9"/>
    <w:rsid w:val="00042E94"/>
    <w:rsid w:val="00052EBB"/>
    <w:rsid w:val="00061D52"/>
    <w:rsid w:val="00064413"/>
    <w:rsid w:val="00092F5A"/>
    <w:rsid w:val="00094723"/>
    <w:rsid w:val="00095AC0"/>
    <w:rsid w:val="00097449"/>
    <w:rsid w:val="000A7E99"/>
    <w:rsid w:val="000B1C62"/>
    <w:rsid w:val="000B32B8"/>
    <w:rsid w:val="000B5A98"/>
    <w:rsid w:val="000E0E62"/>
    <w:rsid w:val="000F738E"/>
    <w:rsid w:val="0010141B"/>
    <w:rsid w:val="001055EB"/>
    <w:rsid w:val="00151B8C"/>
    <w:rsid w:val="00156C9D"/>
    <w:rsid w:val="001576D5"/>
    <w:rsid w:val="001A0786"/>
    <w:rsid w:val="001A5136"/>
    <w:rsid w:val="001B7552"/>
    <w:rsid w:val="001C67D1"/>
    <w:rsid w:val="001D182F"/>
    <w:rsid w:val="001E5570"/>
    <w:rsid w:val="001F73E4"/>
    <w:rsid w:val="0021704C"/>
    <w:rsid w:val="00221B78"/>
    <w:rsid w:val="00224888"/>
    <w:rsid w:val="002257D3"/>
    <w:rsid w:val="00251F3C"/>
    <w:rsid w:val="002569FE"/>
    <w:rsid w:val="00257C43"/>
    <w:rsid w:val="002615E8"/>
    <w:rsid w:val="0027068B"/>
    <w:rsid w:val="00291AE7"/>
    <w:rsid w:val="002A6674"/>
    <w:rsid w:val="002A7067"/>
    <w:rsid w:val="002A767B"/>
    <w:rsid w:val="002B3B29"/>
    <w:rsid w:val="002B79AD"/>
    <w:rsid w:val="002C44D1"/>
    <w:rsid w:val="00305EA7"/>
    <w:rsid w:val="00320BAB"/>
    <w:rsid w:val="00322366"/>
    <w:rsid w:val="00323236"/>
    <w:rsid w:val="003273C5"/>
    <w:rsid w:val="0034609E"/>
    <w:rsid w:val="00367812"/>
    <w:rsid w:val="0039447E"/>
    <w:rsid w:val="003963D9"/>
    <w:rsid w:val="003A577C"/>
    <w:rsid w:val="003E4214"/>
    <w:rsid w:val="003F2084"/>
    <w:rsid w:val="003F6A7D"/>
    <w:rsid w:val="00412D59"/>
    <w:rsid w:val="004209A6"/>
    <w:rsid w:val="00434DBA"/>
    <w:rsid w:val="00441136"/>
    <w:rsid w:val="00442DE1"/>
    <w:rsid w:val="00470100"/>
    <w:rsid w:val="00483AD2"/>
    <w:rsid w:val="004A2BC5"/>
    <w:rsid w:val="004B0403"/>
    <w:rsid w:val="004B2B1C"/>
    <w:rsid w:val="004B399F"/>
    <w:rsid w:val="004B4D47"/>
    <w:rsid w:val="004C6BDC"/>
    <w:rsid w:val="004E2F83"/>
    <w:rsid w:val="004F1524"/>
    <w:rsid w:val="00545516"/>
    <w:rsid w:val="00551BAB"/>
    <w:rsid w:val="005559C2"/>
    <w:rsid w:val="00562A9F"/>
    <w:rsid w:val="00575F42"/>
    <w:rsid w:val="005D0927"/>
    <w:rsid w:val="005E0F3A"/>
    <w:rsid w:val="005F4B7A"/>
    <w:rsid w:val="00603E28"/>
    <w:rsid w:val="0061206A"/>
    <w:rsid w:val="00625E38"/>
    <w:rsid w:val="006351FC"/>
    <w:rsid w:val="0063774B"/>
    <w:rsid w:val="0064147A"/>
    <w:rsid w:val="00647FD1"/>
    <w:rsid w:val="00660438"/>
    <w:rsid w:val="00663EB8"/>
    <w:rsid w:val="006B01FC"/>
    <w:rsid w:val="006B7256"/>
    <w:rsid w:val="006D71CA"/>
    <w:rsid w:val="006E413C"/>
    <w:rsid w:val="006E4316"/>
    <w:rsid w:val="006E6E7C"/>
    <w:rsid w:val="00717FC7"/>
    <w:rsid w:val="00720E41"/>
    <w:rsid w:val="00722386"/>
    <w:rsid w:val="007265BD"/>
    <w:rsid w:val="00734F81"/>
    <w:rsid w:val="00737BCD"/>
    <w:rsid w:val="007440C6"/>
    <w:rsid w:val="00746693"/>
    <w:rsid w:val="007839D2"/>
    <w:rsid w:val="00787469"/>
    <w:rsid w:val="00795DB6"/>
    <w:rsid w:val="00797373"/>
    <w:rsid w:val="007A1348"/>
    <w:rsid w:val="007A2385"/>
    <w:rsid w:val="007A5FF7"/>
    <w:rsid w:val="007A7A5B"/>
    <w:rsid w:val="007C5D6D"/>
    <w:rsid w:val="007C6D52"/>
    <w:rsid w:val="007D6FF8"/>
    <w:rsid w:val="007E2FEB"/>
    <w:rsid w:val="007E56D6"/>
    <w:rsid w:val="007E741A"/>
    <w:rsid w:val="007F1FF7"/>
    <w:rsid w:val="007F4207"/>
    <w:rsid w:val="008146BE"/>
    <w:rsid w:val="00824C6B"/>
    <w:rsid w:val="00837BBD"/>
    <w:rsid w:val="0084039C"/>
    <w:rsid w:val="00840904"/>
    <w:rsid w:val="008427C8"/>
    <w:rsid w:val="00845BEE"/>
    <w:rsid w:val="00847704"/>
    <w:rsid w:val="0086634D"/>
    <w:rsid w:val="008666DE"/>
    <w:rsid w:val="00873375"/>
    <w:rsid w:val="00882E54"/>
    <w:rsid w:val="008861B9"/>
    <w:rsid w:val="008906B8"/>
    <w:rsid w:val="0089316A"/>
    <w:rsid w:val="00893ACF"/>
    <w:rsid w:val="00893F54"/>
    <w:rsid w:val="00897711"/>
    <w:rsid w:val="00897759"/>
    <w:rsid w:val="008B0A70"/>
    <w:rsid w:val="008B65E4"/>
    <w:rsid w:val="008C0283"/>
    <w:rsid w:val="008C0C8B"/>
    <w:rsid w:val="008D382B"/>
    <w:rsid w:val="008D3960"/>
    <w:rsid w:val="008D3BB5"/>
    <w:rsid w:val="008D5A8A"/>
    <w:rsid w:val="008F21B8"/>
    <w:rsid w:val="008F4859"/>
    <w:rsid w:val="009637CE"/>
    <w:rsid w:val="0098004B"/>
    <w:rsid w:val="00985113"/>
    <w:rsid w:val="00991D4B"/>
    <w:rsid w:val="00993448"/>
    <w:rsid w:val="0099429A"/>
    <w:rsid w:val="009A527B"/>
    <w:rsid w:val="009C1DB7"/>
    <w:rsid w:val="009D3B83"/>
    <w:rsid w:val="009E5EB1"/>
    <w:rsid w:val="009F4FB2"/>
    <w:rsid w:val="00A005C5"/>
    <w:rsid w:val="00A15868"/>
    <w:rsid w:val="00A24AFA"/>
    <w:rsid w:val="00A26D3D"/>
    <w:rsid w:val="00A33854"/>
    <w:rsid w:val="00A70D1C"/>
    <w:rsid w:val="00A76642"/>
    <w:rsid w:val="00A83DA4"/>
    <w:rsid w:val="00AD4A99"/>
    <w:rsid w:val="00AE7BF8"/>
    <w:rsid w:val="00AF56FE"/>
    <w:rsid w:val="00B017FC"/>
    <w:rsid w:val="00B10131"/>
    <w:rsid w:val="00B1171C"/>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6147A"/>
    <w:rsid w:val="00C64A32"/>
    <w:rsid w:val="00C833BA"/>
    <w:rsid w:val="00C85760"/>
    <w:rsid w:val="00CC1421"/>
    <w:rsid w:val="00CD1576"/>
    <w:rsid w:val="00CD44A8"/>
    <w:rsid w:val="00CD704C"/>
    <w:rsid w:val="00CE0D5D"/>
    <w:rsid w:val="00CF4B20"/>
    <w:rsid w:val="00CF4D15"/>
    <w:rsid w:val="00D00FC6"/>
    <w:rsid w:val="00D02E0B"/>
    <w:rsid w:val="00D1365F"/>
    <w:rsid w:val="00D14712"/>
    <w:rsid w:val="00D33830"/>
    <w:rsid w:val="00D67090"/>
    <w:rsid w:val="00D94F0D"/>
    <w:rsid w:val="00D9535A"/>
    <w:rsid w:val="00DA0496"/>
    <w:rsid w:val="00DC783D"/>
    <w:rsid w:val="00DE2907"/>
    <w:rsid w:val="00DE460E"/>
    <w:rsid w:val="00DF23CD"/>
    <w:rsid w:val="00DF7B96"/>
    <w:rsid w:val="00E003F4"/>
    <w:rsid w:val="00E249F3"/>
    <w:rsid w:val="00E24AA8"/>
    <w:rsid w:val="00E30CDA"/>
    <w:rsid w:val="00E35E86"/>
    <w:rsid w:val="00E460A3"/>
    <w:rsid w:val="00EA4AB9"/>
    <w:rsid w:val="00EB02E7"/>
    <w:rsid w:val="00EB63F5"/>
    <w:rsid w:val="00EC1870"/>
    <w:rsid w:val="00EF1B72"/>
    <w:rsid w:val="00EF3242"/>
    <w:rsid w:val="00F4119B"/>
    <w:rsid w:val="00F72A97"/>
    <w:rsid w:val="00F906A8"/>
    <w:rsid w:val="00F90DCD"/>
    <w:rsid w:val="00FA68EE"/>
    <w:rsid w:val="00FB361D"/>
    <w:rsid w:val="00FB6522"/>
    <w:rsid w:val="00FC5799"/>
    <w:rsid w:val="00FC6821"/>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8989D-0885-4549-9C8E-E9BE7330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2018-04-23T12:06:00Z</cp:lastPrinted>
  <dcterms:created xsi:type="dcterms:W3CDTF">2018-04-24T18:28:00Z</dcterms:created>
  <dcterms:modified xsi:type="dcterms:W3CDTF">2018-04-24T18:28:00Z</dcterms:modified>
</cp:coreProperties>
</file>