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FA" w:rsidRPr="00762A2A" w:rsidRDefault="002461FA" w:rsidP="00E57196">
      <w:pPr>
        <w:tabs>
          <w:tab w:val="left" w:pos="900"/>
        </w:tabs>
        <w:ind w:firstLine="600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>Приложение № 1</w:t>
      </w:r>
    </w:p>
    <w:p w:rsidR="002461FA" w:rsidRPr="00762A2A" w:rsidRDefault="002461FA" w:rsidP="0098497A">
      <w:pPr>
        <w:widowControl w:val="0"/>
        <w:suppressAutoHyphens/>
        <w:ind w:left="426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  <w:r w:rsidRPr="00762A2A">
        <w:rPr>
          <w:rFonts w:eastAsia="SimSun" w:cs="Mangal"/>
          <w:kern w:val="2"/>
          <w:sz w:val="24"/>
          <w:szCs w:val="24"/>
          <w:lang w:eastAsia="hi-IN" w:bidi="hi-IN"/>
        </w:rPr>
        <w:t>к Типовому положению о системе оплаты труда</w:t>
      </w:r>
    </w:p>
    <w:p w:rsidR="002461FA" w:rsidRPr="00762A2A" w:rsidRDefault="002461FA" w:rsidP="0098497A">
      <w:pPr>
        <w:widowControl w:val="0"/>
        <w:suppressAutoHyphens/>
        <w:ind w:left="426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  <w:r w:rsidRPr="00762A2A">
        <w:rPr>
          <w:rFonts w:eastAsia="SimSun" w:cs="Mangal"/>
          <w:kern w:val="2"/>
          <w:sz w:val="24"/>
          <w:szCs w:val="24"/>
          <w:lang w:eastAsia="hi-IN" w:bidi="hi-IN"/>
        </w:rPr>
        <w:t>работников органов местного самоуправления</w:t>
      </w:r>
    </w:p>
    <w:p w:rsidR="002461FA" w:rsidRPr="00762A2A" w:rsidRDefault="002461FA" w:rsidP="0098497A">
      <w:pPr>
        <w:widowControl w:val="0"/>
        <w:suppressAutoHyphens/>
        <w:ind w:left="426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  <w:r w:rsidRPr="00762A2A">
        <w:rPr>
          <w:rFonts w:eastAsia="SimSun" w:cs="Mangal"/>
          <w:kern w:val="2"/>
          <w:sz w:val="24"/>
          <w:szCs w:val="24"/>
          <w:lang w:eastAsia="hi-IN" w:bidi="hi-IN"/>
        </w:rPr>
        <w:t>Шуйского муниципального района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  <w:r w:rsidRPr="0098497A">
        <w:rPr>
          <w:rFonts w:eastAsia="SimSun" w:cs="Mangal"/>
          <w:b/>
          <w:kern w:val="2"/>
          <w:lang w:eastAsia="hi-IN" w:bidi="hi-IN"/>
        </w:rPr>
        <w:t>Размеры минимальных окладов (минимальных должностных окладов)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  <w:r w:rsidRPr="0098497A">
        <w:rPr>
          <w:rFonts w:eastAsia="SimSun" w:cs="Mangal"/>
          <w:b/>
          <w:kern w:val="2"/>
          <w:lang w:eastAsia="hi-IN" w:bidi="hi-IN"/>
        </w:rPr>
        <w:t>работников органов местного самоуправления  Шуйского муниципального района по соответствующим профессиональным квалификационным группам и повышающих коэффициентов по занимаемым должностям (профессиям)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профессии рабочих первого уровня»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5811"/>
        <w:gridCol w:w="2410"/>
        <w:gridCol w:w="3119"/>
      </w:tblGrid>
      <w:tr w:rsidR="002461FA" w:rsidRPr="0098497A" w:rsidTr="008933F2">
        <w:trPr>
          <w:tblHeader/>
        </w:trPr>
        <w:tc>
          <w:tcPr>
            <w:tcW w:w="67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 xml:space="preserve">№ </w:t>
            </w:r>
            <w:proofErr w:type="spellStart"/>
            <w:proofErr w:type="gram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/</w:t>
            </w:r>
            <w:proofErr w:type="spell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2461FA" w:rsidRPr="0098497A" w:rsidTr="008933F2">
        <w:tc>
          <w:tcPr>
            <w:tcW w:w="675" w:type="dxa"/>
          </w:tcPr>
          <w:p w:rsidR="002461FA" w:rsidRPr="008933F2" w:rsidRDefault="002461FA" w:rsidP="008933F2">
            <w:pPr>
              <w:widowControl w:val="0"/>
              <w:numPr>
                <w:ilvl w:val="0"/>
                <w:numId w:val="1"/>
              </w:numPr>
              <w:tabs>
                <w:tab w:val="num" w:pos="141"/>
              </w:tabs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811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рабочих, в том числе: кладовщик, рабочий по комплексному обслуживанию и ремонту зданий, оператор копировальных и множительных машин, сторож (вахтер), уборщик служебных помещений, уборщик территорий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 xml:space="preserve">1 квалификационный разряд                                                                    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 квалификационный разряд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3 квалификационный разряд</w:t>
            </w:r>
          </w:p>
        </w:tc>
        <w:tc>
          <w:tcPr>
            <w:tcW w:w="2410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2030</w:t>
            </w:r>
          </w:p>
        </w:tc>
        <w:tc>
          <w:tcPr>
            <w:tcW w:w="3119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1,0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1,1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1,2</w:t>
            </w:r>
          </w:p>
        </w:tc>
      </w:tr>
    </w:tbl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lastRenderedPageBreak/>
        <w:t>Профессиональная квалификационная группа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 xml:space="preserve">«Общеотраслевые профессии рабочих второго уровня» 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812"/>
        <w:gridCol w:w="5334"/>
        <w:gridCol w:w="2365"/>
        <w:gridCol w:w="2958"/>
      </w:tblGrid>
      <w:tr w:rsidR="002461FA" w:rsidRPr="0098497A" w:rsidTr="008933F2">
        <w:trPr>
          <w:tblHeader/>
        </w:trPr>
        <w:tc>
          <w:tcPr>
            <w:tcW w:w="66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 xml:space="preserve">№ </w:t>
            </w:r>
            <w:proofErr w:type="spellStart"/>
            <w:proofErr w:type="gram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/</w:t>
            </w:r>
            <w:proofErr w:type="spell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2812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334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36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2958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2461FA" w:rsidRPr="0098497A" w:rsidTr="008933F2">
        <w:tc>
          <w:tcPr>
            <w:tcW w:w="665" w:type="dxa"/>
          </w:tcPr>
          <w:p w:rsidR="002461FA" w:rsidRPr="008933F2" w:rsidRDefault="002461FA" w:rsidP="008933F2">
            <w:pPr>
              <w:widowControl w:val="0"/>
              <w:numPr>
                <w:ilvl w:val="0"/>
                <w:numId w:val="2"/>
              </w:numPr>
              <w:tabs>
                <w:tab w:val="num" w:pos="283"/>
              </w:tabs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12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334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 том числе: рабочий по комплексному обслуживанию и ремонту зданий, водитель автомобиля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4 квалификационный разряд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5 квалификационный разряд</w:t>
            </w:r>
          </w:p>
        </w:tc>
        <w:tc>
          <w:tcPr>
            <w:tcW w:w="236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2323</w:t>
            </w:r>
          </w:p>
        </w:tc>
        <w:tc>
          <w:tcPr>
            <w:tcW w:w="2958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1,06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1,1</w:t>
            </w:r>
          </w:p>
        </w:tc>
      </w:tr>
      <w:tr w:rsidR="002461FA" w:rsidRPr="0098497A" w:rsidTr="008933F2">
        <w:tc>
          <w:tcPr>
            <w:tcW w:w="665" w:type="dxa"/>
          </w:tcPr>
          <w:p w:rsidR="002461FA" w:rsidRPr="008933F2" w:rsidRDefault="002461FA" w:rsidP="008933F2">
            <w:pPr>
              <w:widowControl w:val="0"/>
              <w:numPr>
                <w:ilvl w:val="0"/>
                <w:numId w:val="2"/>
              </w:numPr>
              <w:tabs>
                <w:tab w:val="num" w:pos="283"/>
              </w:tabs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12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4 квалификационный уровень</w:t>
            </w:r>
          </w:p>
        </w:tc>
        <w:tc>
          <w:tcPr>
            <w:tcW w:w="5334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Наименование профессий рабочих, предусмотренных 1 квалификационным уровнем настоящей профессиональной квалификационной группы, выполняющих важные (особо важные) и ответственные (особо ответственные) работы: рабочий по комплексному обслуживанию и ремонту зданий, водитель автомобиля</w:t>
            </w:r>
          </w:p>
        </w:tc>
        <w:tc>
          <w:tcPr>
            <w:tcW w:w="236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3789</w:t>
            </w:r>
          </w:p>
        </w:tc>
        <w:tc>
          <w:tcPr>
            <w:tcW w:w="2958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1,1</w:t>
            </w:r>
          </w:p>
        </w:tc>
      </w:tr>
    </w:tbl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должности служащих первого уровня»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14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5811"/>
        <w:gridCol w:w="2410"/>
        <w:gridCol w:w="3119"/>
      </w:tblGrid>
      <w:tr w:rsidR="002461FA" w:rsidRPr="0098497A" w:rsidTr="008933F2">
        <w:trPr>
          <w:tblHeader/>
        </w:trPr>
        <w:tc>
          <w:tcPr>
            <w:tcW w:w="67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 xml:space="preserve">№ </w:t>
            </w:r>
            <w:proofErr w:type="spellStart"/>
            <w:proofErr w:type="gram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/</w:t>
            </w:r>
            <w:proofErr w:type="spell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2461FA" w:rsidRPr="0098497A" w:rsidTr="008933F2">
        <w:tc>
          <w:tcPr>
            <w:tcW w:w="675" w:type="dxa"/>
          </w:tcPr>
          <w:p w:rsidR="002461FA" w:rsidRPr="008933F2" w:rsidRDefault="002461FA" w:rsidP="008933F2">
            <w:pPr>
              <w:widowControl w:val="0"/>
              <w:numPr>
                <w:ilvl w:val="0"/>
                <w:numId w:val="3"/>
              </w:numPr>
              <w:tabs>
                <w:tab w:val="num" w:pos="283"/>
              </w:tabs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811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архивариус; делопроизводитель</w:t>
            </w:r>
          </w:p>
        </w:tc>
        <w:tc>
          <w:tcPr>
            <w:tcW w:w="2410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2323</w:t>
            </w:r>
          </w:p>
        </w:tc>
        <w:tc>
          <w:tcPr>
            <w:tcW w:w="3119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1,7</w:t>
            </w:r>
          </w:p>
        </w:tc>
      </w:tr>
    </w:tbl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должности служащих второго уровня»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14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5811"/>
        <w:gridCol w:w="2410"/>
        <w:gridCol w:w="3119"/>
      </w:tblGrid>
      <w:tr w:rsidR="002461FA" w:rsidRPr="0098497A" w:rsidTr="008933F2">
        <w:trPr>
          <w:tblHeader/>
        </w:trPr>
        <w:tc>
          <w:tcPr>
            <w:tcW w:w="67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 xml:space="preserve">№ </w:t>
            </w:r>
            <w:proofErr w:type="spellStart"/>
            <w:proofErr w:type="gram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/</w:t>
            </w:r>
            <w:proofErr w:type="spell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2461FA" w:rsidRPr="0098497A" w:rsidTr="008933F2">
        <w:tc>
          <w:tcPr>
            <w:tcW w:w="675" w:type="dxa"/>
          </w:tcPr>
          <w:p w:rsidR="002461FA" w:rsidRPr="008933F2" w:rsidRDefault="002461FA" w:rsidP="008933F2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283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811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диспетчер, техник</w:t>
            </w:r>
          </w:p>
        </w:tc>
        <w:tc>
          <w:tcPr>
            <w:tcW w:w="2410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2862</w:t>
            </w:r>
          </w:p>
        </w:tc>
        <w:tc>
          <w:tcPr>
            <w:tcW w:w="3119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  <w:tr w:rsidR="002461FA" w:rsidRPr="0098497A" w:rsidTr="008933F2">
        <w:tc>
          <w:tcPr>
            <w:tcW w:w="675" w:type="dxa"/>
          </w:tcPr>
          <w:p w:rsidR="002461FA" w:rsidRPr="008933F2" w:rsidRDefault="002461FA" w:rsidP="008933F2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 квалификационный уровень</w:t>
            </w:r>
          </w:p>
        </w:tc>
        <w:tc>
          <w:tcPr>
            <w:tcW w:w="5811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 xml:space="preserve">заведующий архивом; старший инспектор по </w:t>
            </w:r>
            <w:proofErr w:type="gramStart"/>
            <w:r w:rsidRPr="008933F2">
              <w:rPr>
                <w:rFonts w:eastAsia="SimSun" w:cs="Mangal"/>
                <w:kern w:val="2"/>
                <w:lang w:eastAsia="hi-IN" w:bidi="hi-IN"/>
              </w:rPr>
              <w:t>контролю за</w:t>
            </w:r>
            <w:proofErr w:type="gramEnd"/>
            <w:r w:rsidRPr="008933F2">
              <w:rPr>
                <w:rFonts w:eastAsia="SimSun" w:cs="Mangal"/>
                <w:kern w:val="2"/>
                <w:lang w:eastAsia="hi-IN" w:bidi="hi-IN"/>
              </w:rPr>
              <w:t xml:space="preserve"> исполнением поручений</w:t>
            </w:r>
          </w:p>
        </w:tc>
        <w:tc>
          <w:tcPr>
            <w:tcW w:w="2410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3139</w:t>
            </w:r>
          </w:p>
        </w:tc>
        <w:tc>
          <w:tcPr>
            <w:tcW w:w="3119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</w:tbl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lastRenderedPageBreak/>
        <w:t>Профессиональная квалификационная группа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должности служащих третьего уровня»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14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5811"/>
        <w:gridCol w:w="2410"/>
        <w:gridCol w:w="3119"/>
      </w:tblGrid>
      <w:tr w:rsidR="002461FA" w:rsidRPr="0098497A" w:rsidTr="008933F2">
        <w:trPr>
          <w:tblHeader/>
        </w:trPr>
        <w:tc>
          <w:tcPr>
            <w:tcW w:w="67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 xml:space="preserve">№ </w:t>
            </w:r>
            <w:proofErr w:type="spellStart"/>
            <w:proofErr w:type="gram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/</w:t>
            </w:r>
            <w:proofErr w:type="spell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2461FA" w:rsidRPr="0098497A" w:rsidTr="008933F2">
        <w:tc>
          <w:tcPr>
            <w:tcW w:w="675" w:type="dxa"/>
          </w:tcPr>
          <w:p w:rsidR="002461FA" w:rsidRPr="008933F2" w:rsidRDefault="002461FA" w:rsidP="008933F2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283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811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специалист по связям с общественностью; эксперт по дорожному хозяйству; экономист</w:t>
            </w:r>
          </w:p>
        </w:tc>
        <w:tc>
          <w:tcPr>
            <w:tcW w:w="2410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6238</w:t>
            </w:r>
          </w:p>
        </w:tc>
        <w:tc>
          <w:tcPr>
            <w:tcW w:w="3119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  <w:tr w:rsidR="002461FA" w:rsidRPr="0098497A" w:rsidTr="008933F2">
        <w:tc>
          <w:tcPr>
            <w:tcW w:w="675" w:type="dxa"/>
          </w:tcPr>
          <w:p w:rsidR="002461FA" w:rsidRPr="008933F2" w:rsidRDefault="002461FA" w:rsidP="008933F2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 квалификационный уровень</w:t>
            </w:r>
          </w:p>
        </w:tc>
        <w:tc>
          <w:tcPr>
            <w:tcW w:w="5811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старший экономист; старший бухгалтер</w:t>
            </w:r>
          </w:p>
        </w:tc>
        <w:tc>
          <w:tcPr>
            <w:tcW w:w="2410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6450</w:t>
            </w:r>
          </w:p>
        </w:tc>
        <w:tc>
          <w:tcPr>
            <w:tcW w:w="3119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  <w:tr w:rsidR="002461FA" w:rsidRPr="0098497A" w:rsidTr="008933F2">
        <w:tc>
          <w:tcPr>
            <w:tcW w:w="675" w:type="dxa"/>
          </w:tcPr>
          <w:p w:rsidR="002461FA" w:rsidRPr="008933F2" w:rsidRDefault="002461FA" w:rsidP="008933F2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283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4 квалификационный уровень</w:t>
            </w:r>
          </w:p>
        </w:tc>
        <w:tc>
          <w:tcPr>
            <w:tcW w:w="5811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Ведущий аудитор</w:t>
            </w:r>
          </w:p>
        </w:tc>
        <w:tc>
          <w:tcPr>
            <w:tcW w:w="2410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8550</w:t>
            </w:r>
          </w:p>
        </w:tc>
        <w:tc>
          <w:tcPr>
            <w:tcW w:w="3119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</w:tbl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должности служащих четвертого уровня»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5811"/>
        <w:gridCol w:w="2410"/>
        <w:gridCol w:w="3119"/>
      </w:tblGrid>
      <w:tr w:rsidR="002461FA" w:rsidRPr="0098497A" w:rsidTr="008933F2">
        <w:trPr>
          <w:tblHeader/>
        </w:trPr>
        <w:tc>
          <w:tcPr>
            <w:tcW w:w="67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 xml:space="preserve">№ </w:t>
            </w:r>
            <w:proofErr w:type="spellStart"/>
            <w:proofErr w:type="gram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/</w:t>
            </w:r>
            <w:proofErr w:type="spell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Должности служащих,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2461FA" w:rsidRPr="0098497A" w:rsidTr="008933F2">
        <w:tc>
          <w:tcPr>
            <w:tcW w:w="675" w:type="dxa"/>
          </w:tcPr>
          <w:p w:rsidR="002461FA" w:rsidRPr="008933F2" w:rsidRDefault="002461FA" w:rsidP="008933F2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3 квалификационный уровень</w:t>
            </w:r>
          </w:p>
        </w:tc>
        <w:tc>
          <w:tcPr>
            <w:tcW w:w="5811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gramStart"/>
            <w:r w:rsidRPr="008933F2">
              <w:rPr>
                <w:rFonts w:eastAsia="SimSun" w:cs="Mangal"/>
                <w:kern w:val="2"/>
                <w:lang w:eastAsia="hi-IN" w:bidi="hi-IN"/>
              </w:rPr>
              <w:t>Заведующий обособленного структурного подраз</w:t>
            </w:r>
            <w:proofErr w:type="gramEnd"/>
            <w:r w:rsidRPr="008933F2">
              <w:rPr>
                <w:rFonts w:eastAsia="SimSun" w:cs="Mangal"/>
                <w:kern w:val="2"/>
                <w:lang w:eastAsia="hi-IN" w:bidi="hi-IN"/>
              </w:rPr>
              <w:t>деления</w:t>
            </w:r>
          </w:p>
        </w:tc>
        <w:tc>
          <w:tcPr>
            <w:tcW w:w="2410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5328</w:t>
            </w:r>
          </w:p>
        </w:tc>
        <w:tc>
          <w:tcPr>
            <w:tcW w:w="3119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</w:tbl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lastRenderedPageBreak/>
        <w:t>Размеры должностных окладов по должностям работников,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proofErr w:type="spellStart"/>
      <w:r>
        <w:rPr>
          <w:rFonts w:eastAsia="SimSun" w:cs="Mangal"/>
          <w:kern w:val="2"/>
          <w:lang w:eastAsia="hi-IN" w:bidi="hi-IN"/>
        </w:rPr>
        <w:t>н</w:t>
      </w:r>
      <w:r w:rsidRPr="0098497A">
        <w:rPr>
          <w:rFonts w:eastAsia="SimSun" w:cs="Mangal"/>
          <w:kern w:val="2"/>
          <w:lang w:eastAsia="hi-IN" w:bidi="hi-IN"/>
        </w:rPr>
        <w:t>еотнесенным</w:t>
      </w:r>
      <w:proofErr w:type="spellEnd"/>
      <w:r w:rsidRPr="0098497A">
        <w:rPr>
          <w:rFonts w:eastAsia="SimSun" w:cs="Mangal"/>
          <w:kern w:val="2"/>
          <w:lang w:eastAsia="hi-IN" w:bidi="hi-IN"/>
        </w:rPr>
        <w:t xml:space="preserve"> к профессиональным квалификационным группам.</w:t>
      </w:r>
    </w:p>
    <w:p w:rsidR="002461FA" w:rsidRPr="0098497A" w:rsidRDefault="002461FA" w:rsidP="0098497A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7726"/>
        <w:gridCol w:w="4712"/>
      </w:tblGrid>
      <w:tr w:rsidR="002461FA" w:rsidRPr="0098497A" w:rsidTr="008933F2">
        <w:tc>
          <w:tcPr>
            <w:tcW w:w="1696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№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proofErr w:type="spellStart"/>
            <w:proofErr w:type="gram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/</w:t>
            </w:r>
            <w:proofErr w:type="spell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7726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 xml:space="preserve">Должности работников, не отнесенные </w:t>
            </w:r>
            <w:proofErr w:type="gramStart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к</w:t>
            </w:r>
            <w:proofErr w:type="gramEnd"/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 xml:space="preserve"> 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квалификационным уровням</w:t>
            </w:r>
          </w:p>
        </w:tc>
        <w:tc>
          <w:tcPr>
            <w:tcW w:w="4712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Должностной оклад,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b/>
                <w:kern w:val="2"/>
                <w:lang w:eastAsia="hi-IN" w:bidi="hi-IN"/>
              </w:rPr>
              <w:t>руб.</w:t>
            </w:r>
          </w:p>
        </w:tc>
      </w:tr>
      <w:tr w:rsidR="002461FA" w:rsidRPr="0098497A" w:rsidTr="008933F2">
        <w:tc>
          <w:tcPr>
            <w:tcW w:w="1696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7726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Старший системный администратор</w:t>
            </w:r>
          </w:p>
        </w:tc>
        <w:tc>
          <w:tcPr>
            <w:tcW w:w="4712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4603</w:t>
            </w:r>
          </w:p>
        </w:tc>
      </w:tr>
      <w:tr w:rsidR="002461FA" w:rsidRPr="0098497A" w:rsidTr="008933F2">
        <w:tc>
          <w:tcPr>
            <w:tcW w:w="1696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7726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Старший инспектор по вопросам охраны труда,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мобилизационной подготовки и гражданской</w:t>
            </w:r>
          </w:p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обороны, старший инспектор по контролю делопроизводства, заведующий архивом</w:t>
            </w:r>
          </w:p>
        </w:tc>
        <w:tc>
          <w:tcPr>
            <w:tcW w:w="4712" w:type="dxa"/>
          </w:tcPr>
          <w:p w:rsidR="002461FA" w:rsidRPr="008933F2" w:rsidRDefault="002461FA" w:rsidP="008933F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933F2">
              <w:rPr>
                <w:rFonts w:eastAsia="SimSun" w:cs="Mangal"/>
                <w:kern w:val="2"/>
                <w:lang w:eastAsia="hi-IN" w:bidi="hi-IN"/>
              </w:rPr>
              <w:t>3798</w:t>
            </w:r>
          </w:p>
        </w:tc>
      </w:tr>
    </w:tbl>
    <w:p w:rsidR="002461FA" w:rsidRPr="0098497A" w:rsidRDefault="002461FA" w:rsidP="0098497A">
      <w:pPr>
        <w:spacing w:before="60" w:after="60"/>
        <w:sectPr w:rsidR="002461FA" w:rsidRPr="0098497A" w:rsidSect="00762A2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461FA" w:rsidRPr="00762A2A" w:rsidRDefault="002461FA" w:rsidP="00762A2A">
      <w:pPr>
        <w:tabs>
          <w:tab w:val="left" w:pos="7369"/>
          <w:tab w:val="left" w:pos="7914"/>
          <w:tab w:val="right" w:pos="9780"/>
        </w:tabs>
        <w:rPr>
          <w:sz w:val="24"/>
          <w:szCs w:val="24"/>
        </w:rPr>
      </w:pPr>
      <w:r w:rsidRPr="00762A2A"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№ 2</w:t>
      </w:r>
    </w:p>
    <w:p w:rsidR="002461FA" w:rsidRPr="00762A2A" w:rsidRDefault="002461FA" w:rsidP="00762A2A">
      <w:pPr>
        <w:ind w:left="426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>К Типовому положению о системе оплаты труда</w:t>
      </w:r>
    </w:p>
    <w:p w:rsidR="002461FA" w:rsidRPr="00762A2A" w:rsidRDefault="002461FA" w:rsidP="00762A2A">
      <w:pPr>
        <w:ind w:left="426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>работников органов местного самоуправления</w:t>
      </w:r>
    </w:p>
    <w:p w:rsidR="002461FA" w:rsidRPr="00762A2A" w:rsidRDefault="002461FA" w:rsidP="00762A2A">
      <w:pPr>
        <w:ind w:left="426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>Шуйского муниципального района</w:t>
      </w:r>
    </w:p>
    <w:p w:rsidR="002461FA" w:rsidRPr="0098497A" w:rsidRDefault="002461FA" w:rsidP="00762A2A">
      <w:pPr>
        <w:ind w:left="426"/>
        <w:jc w:val="both"/>
      </w:pPr>
    </w:p>
    <w:p w:rsidR="002461FA" w:rsidRDefault="002461FA" w:rsidP="00762A2A">
      <w:pPr>
        <w:ind w:left="426"/>
        <w:jc w:val="center"/>
      </w:pPr>
      <w:r w:rsidRPr="0098497A">
        <w:rPr>
          <w:b/>
        </w:rPr>
        <w:t>Порядок и условия установления выплат компенсационного характера</w:t>
      </w:r>
    </w:p>
    <w:p w:rsidR="002461FA" w:rsidRPr="0098497A" w:rsidRDefault="002461FA" w:rsidP="00762A2A">
      <w:pPr>
        <w:ind w:left="426"/>
        <w:jc w:val="center"/>
      </w:pPr>
    </w:p>
    <w:p w:rsidR="002461FA" w:rsidRPr="0098497A" w:rsidRDefault="002461FA" w:rsidP="00762A2A">
      <w:pPr>
        <w:ind w:left="426"/>
        <w:jc w:val="both"/>
      </w:pPr>
      <w:r w:rsidRPr="0098497A">
        <w:t xml:space="preserve">      Выплаты компенсационного характера работников органов местного самоуправления состоят </w:t>
      </w:r>
      <w:proofErr w:type="gramStart"/>
      <w:r w:rsidRPr="0098497A">
        <w:t>из</w:t>
      </w:r>
      <w:proofErr w:type="gramEnd"/>
      <w:r w:rsidRPr="0098497A">
        <w:t>: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а) выплат при выполнении работ различной квалификации. При выполнении работником с повременной оплатой труда различной квалификации его труд оплачивается по работы более высокой квалификации;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б) выплат при совмещении профессий (должностей), расширении зон обслуживания, за увеличение объема работы 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 xml:space="preserve">в) выплат за работу в ночное время (с 22 часов до 6 часов). </w:t>
      </w:r>
      <w:proofErr w:type="gramStart"/>
      <w:r w:rsidRPr="0098497A">
        <w:t>Каждый час работы в ночное время водителю автомобиля оплачивается в размере 40 процентов оклада (должностного оклада), другим категориям работников - 35 процентов оклада (должностного оклада) по сравнению с работой в нормальных условиях;</w:t>
      </w:r>
      <w:proofErr w:type="gramEnd"/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г) выплат за работу в выходные и нерабочие праздничные дни, осуществляемых в порядке, предусмотренном статьей 153 Трудового кодекса Российской Федерации;</w:t>
      </w:r>
    </w:p>
    <w:p w:rsidR="002461FA" w:rsidRPr="0098497A" w:rsidRDefault="002461FA" w:rsidP="0098497A">
      <w:pPr>
        <w:spacing w:before="60" w:after="60"/>
        <w:ind w:left="426"/>
        <w:jc w:val="both"/>
      </w:pPr>
      <w:proofErr w:type="spellStart"/>
      <w:r w:rsidRPr="0098497A">
        <w:t>д</w:t>
      </w:r>
      <w:proofErr w:type="spellEnd"/>
      <w:r w:rsidRPr="0098497A">
        <w:t>) выплат за сверхурочную работу, осуществляемых в порядке, предусмотренном статьей 152 Трудового кодекса Российской Федерации.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 xml:space="preserve">    Для начисления выплат компенсационного характера при совмещении профессий (должностей), расширении зон обслуживания, за увеличение объема работы и исполнение обязанностей временно отсутствующего работника без освобождения от работы, определенной трудовым договором, за работу в ночное время, в выходные и нерабочие праздничные дни, сверхурочную работу, используется часовая (дневная) ставка. </w:t>
      </w:r>
      <w:proofErr w:type="gramStart"/>
      <w:r w:rsidRPr="0098497A">
        <w:t>Последняя</w:t>
      </w:r>
      <w:proofErr w:type="gramEnd"/>
      <w:r w:rsidRPr="0098497A">
        <w:t xml:space="preserve"> определяется путем деления оклада (должностного оклада) на среднемесячное количество рабочих часов (дней) в году, в зависимости от продолжительности рабочего времени для данной категории работников.</w:t>
      </w: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Default="002461FA" w:rsidP="0098497A">
      <w:pPr>
        <w:spacing w:before="60" w:after="60"/>
        <w:ind w:left="426"/>
        <w:jc w:val="both"/>
      </w:pPr>
    </w:p>
    <w:p w:rsidR="002461FA" w:rsidRDefault="002461FA" w:rsidP="0098497A">
      <w:pPr>
        <w:spacing w:before="60" w:after="60"/>
        <w:ind w:left="426"/>
        <w:jc w:val="both"/>
      </w:pPr>
    </w:p>
    <w:p w:rsidR="002461FA" w:rsidRDefault="002461FA" w:rsidP="00762A2A">
      <w:pPr>
        <w:tabs>
          <w:tab w:val="left" w:pos="7862"/>
          <w:tab w:val="right" w:pos="9780"/>
        </w:tabs>
        <w:spacing w:before="60" w:after="60"/>
        <w:ind w:left="426"/>
        <w:jc w:val="center"/>
        <w:rPr>
          <w:sz w:val="24"/>
          <w:szCs w:val="24"/>
        </w:rPr>
      </w:pPr>
    </w:p>
    <w:p w:rsidR="002461FA" w:rsidRPr="00762A2A" w:rsidRDefault="002461FA" w:rsidP="00762A2A">
      <w:pPr>
        <w:tabs>
          <w:tab w:val="left" w:pos="7862"/>
          <w:tab w:val="right" w:pos="9780"/>
        </w:tabs>
        <w:ind w:left="425"/>
        <w:jc w:val="center"/>
        <w:rPr>
          <w:sz w:val="24"/>
          <w:szCs w:val="24"/>
        </w:rPr>
      </w:pPr>
      <w:r w:rsidRPr="00762A2A">
        <w:rPr>
          <w:sz w:val="24"/>
          <w:szCs w:val="24"/>
        </w:rPr>
        <w:lastRenderedPageBreak/>
        <w:t>Приложение № 3</w:t>
      </w:r>
    </w:p>
    <w:p w:rsidR="002461FA" w:rsidRPr="00762A2A" w:rsidRDefault="002461FA" w:rsidP="00762A2A">
      <w:pPr>
        <w:ind w:left="425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>к Типовому положению о системе оплаты труда</w:t>
      </w:r>
    </w:p>
    <w:p w:rsidR="002461FA" w:rsidRPr="00762A2A" w:rsidRDefault="002461FA" w:rsidP="00762A2A">
      <w:pPr>
        <w:ind w:left="425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 xml:space="preserve">работников органов местного самоуправления </w:t>
      </w:r>
    </w:p>
    <w:p w:rsidR="002461FA" w:rsidRPr="00762A2A" w:rsidRDefault="002461FA" w:rsidP="00762A2A">
      <w:pPr>
        <w:ind w:left="425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>Шуйского муниципального района</w:t>
      </w:r>
    </w:p>
    <w:p w:rsidR="002461FA" w:rsidRPr="0098497A" w:rsidRDefault="002461FA" w:rsidP="00762A2A">
      <w:pPr>
        <w:ind w:left="425"/>
        <w:jc w:val="center"/>
      </w:pPr>
    </w:p>
    <w:p w:rsidR="002461FA" w:rsidRDefault="002461FA" w:rsidP="00762A2A">
      <w:pPr>
        <w:ind w:left="425"/>
        <w:jc w:val="center"/>
        <w:rPr>
          <w:b/>
        </w:rPr>
      </w:pPr>
      <w:r w:rsidRPr="0098497A">
        <w:rPr>
          <w:b/>
        </w:rPr>
        <w:t>Порядок и условия установления выплат стимулирующего характера</w:t>
      </w:r>
    </w:p>
    <w:p w:rsidR="002461FA" w:rsidRPr="0098497A" w:rsidRDefault="002461FA" w:rsidP="00762A2A">
      <w:pPr>
        <w:ind w:left="425"/>
        <w:jc w:val="center"/>
        <w:rPr>
          <w:b/>
        </w:rPr>
      </w:pPr>
    </w:p>
    <w:p w:rsidR="002461FA" w:rsidRPr="0098497A" w:rsidRDefault="002461FA" w:rsidP="00762A2A">
      <w:pPr>
        <w:ind w:left="425"/>
        <w:jc w:val="both"/>
      </w:pPr>
      <w:r w:rsidRPr="0098497A">
        <w:t xml:space="preserve">       Выплаты стимулирующего характера в органах местного самоуправления состоят </w:t>
      </w:r>
      <w:proofErr w:type="gramStart"/>
      <w:r w:rsidRPr="0098497A">
        <w:t>из</w:t>
      </w:r>
      <w:proofErr w:type="gramEnd"/>
      <w:r w:rsidRPr="0098497A">
        <w:t xml:space="preserve">: </w:t>
      </w:r>
    </w:p>
    <w:p w:rsidR="002461FA" w:rsidRPr="0098497A" w:rsidRDefault="002461FA" w:rsidP="00762A2A">
      <w:pPr>
        <w:ind w:left="425"/>
        <w:jc w:val="both"/>
      </w:pPr>
      <w:r w:rsidRPr="0098497A">
        <w:t>- выплат за интенсивность и высокие результаты работы;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выплаты за качество выполняемых работ;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премиальные выплаты по итогам работы;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иные условия.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 xml:space="preserve">       Выплаты за интенсивность и высокие результаты работы осуществляются в зависимости от интенсивности, напряженности, продолжительности и трудоемкости работы, выполнения непредвиденных работ, оперативности в исполнении поручений, выполнения важных и ответственных работ.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Выплата за интенсивность и высокие результаты работы устанавливается в процентах от оклада (должностного оклада), максимальными размерами не ограничивается и производится в пределах бюджетных ассигнований на оплату труда работников органов местного самоуправления.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 xml:space="preserve">        При определении выплаты за качество выполняемых работ учитываются следующие условия: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инициатива и применение в работе современных форм и методов организации труда;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качественное и добросовестное исполнение работником своих должностных обязанностей в соответствующем периоде;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иные условия.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 xml:space="preserve">       Выплата за качество выполняемых работ устанавливается в процентах от оклада (должностного оклада), максимальным размером не ограничивается и производится в пределах бюджетных ассигнований на оплату труда работников органов местного самоуправления.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 xml:space="preserve">       При установлении премиальной выплаты по итогам работы учитываются: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выполнение конкретных поставленных перед работником задач и должностных обязанностей, личный вклад каждого работника в общие результаты работы;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бережное отношение к имуществу учреждения и других работников;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отсутствие замечаний по срокам выполнения работ;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отсутствие замечаний по срокам выполнения работ;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lastRenderedPageBreak/>
        <w:t>- отсутствие нарушений правил внутреннего трудового распорядка и инструкций по охране труда и иных локальных нормативных актов органов местного самоуправления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- иные условия.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 xml:space="preserve">      Конкретный размер премиальной выплаты по итогам работы утверждается руководителем органов местного самоуправления </w:t>
      </w:r>
      <w:proofErr w:type="gramStart"/>
      <w:r w:rsidRPr="0098497A">
        <w:t>в пределах бюджетных ассигнований на оплату труда работников в зависимости от личного вклада каждого работника в общие результаты</w:t>
      </w:r>
      <w:proofErr w:type="gramEnd"/>
      <w:r w:rsidRPr="0098497A">
        <w:t xml:space="preserve"> работы органов местного самоуправления и максимальным размером не ограничивается.       </w:t>
      </w: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762A2A" w:rsidRDefault="002461FA" w:rsidP="00762A2A">
      <w:pPr>
        <w:ind w:left="425"/>
        <w:jc w:val="center"/>
        <w:rPr>
          <w:sz w:val="24"/>
          <w:szCs w:val="24"/>
        </w:rPr>
      </w:pPr>
      <w:r w:rsidRPr="00762A2A">
        <w:rPr>
          <w:sz w:val="24"/>
          <w:szCs w:val="24"/>
        </w:rPr>
        <w:lastRenderedPageBreak/>
        <w:t>Приложение № 4</w:t>
      </w:r>
    </w:p>
    <w:p w:rsidR="002461FA" w:rsidRPr="00762A2A" w:rsidRDefault="002461FA" w:rsidP="00762A2A">
      <w:pPr>
        <w:ind w:left="425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>к Типовому положению об оплате труда</w:t>
      </w:r>
    </w:p>
    <w:p w:rsidR="002461FA" w:rsidRPr="00762A2A" w:rsidRDefault="002461FA" w:rsidP="00762A2A">
      <w:pPr>
        <w:ind w:left="425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>работников органов местного самоуправления</w:t>
      </w:r>
    </w:p>
    <w:p w:rsidR="002461FA" w:rsidRPr="00762A2A" w:rsidRDefault="002461FA" w:rsidP="00762A2A">
      <w:pPr>
        <w:ind w:left="425"/>
        <w:jc w:val="right"/>
        <w:rPr>
          <w:sz w:val="24"/>
          <w:szCs w:val="24"/>
        </w:rPr>
      </w:pPr>
      <w:r w:rsidRPr="00762A2A">
        <w:rPr>
          <w:sz w:val="24"/>
          <w:szCs w:val="24"/>
        </w:rPr>
        <w:t xml:space="preserve">Шуйского муниципального района </w:t>
      </w:r>
    </w:p>
    <w:p w:rsidR="002461FA" w:rsidRPr="0098497A" w:rsidRDefault="002461FA" w:rsidP="00762A2A">
      <w:pPr>
        <w:ind w:left="425"/>
        <w:jc w:val="right"/>
      </w:pPr>
    </w:p>
    <w:p w:rsidR="002461FA" w:rsidRPr="0098497A" w:rsidRDefault="002461FA" w:rsidP="00762A2A">
      <w:pPr>
        <w:ind w:left="425"/>
        <w:jc w:val="center"/>
        <w:rPr>
          <w:b/>
        </w:rPr>
      </w:pPr>
      <w:r w:rsidRPr="0098497A">
        <w:rPr>
          <w:b/>
        </w:rPr>
        <w:t>Порядок и условия иных выплат</w:t>
      </w:r>
    </w:p>
    <w:p w:rsidR="002461FA" w:rsidRPr="0098497A" w:rsidRDefault="002461FA" w:rsidP="00762A2A">
      <w:pPr>
        <w:ind w:left="425"/>
      </w:pPr>
    </w:p>
    <w:p w:rsidR="002461FA" w:rsidRPr="0098497A" w:rsidRDefault="002461FA" w:rsidP="00762A2A">
      <w:pPr>
        <w:ind w:left="425"/>
        <w:jc w:val="both"/>
      </w:pPr>
      <w:r w:rsidRPr="0098497A">
        <w:t xml:space="preserve">         Работникам могут устанавливаться иные выплаты в пределах бюджетных ассигнований на оплату труда работников органов местного самоуправления.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 xml:space="preserve">         Иные выплаты осуществляются по следующим основаниям: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при предоставлении ежегодного оплачиваемого отпуска предоставляется материальная помощь в размере двух должностных окладов</w:t>
      </w:r>
      <w:r>
        <w:t>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по итогам работы за год;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к юбилейным датам (50,55 (женщины), 60 лет со дня рождения);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в связи с государственными или профессиональными праздниками, знаменательными или профессиональными  юбилейными датами;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при увольнении работника в связи с уходом на пенсию;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в связи с награждением государственными наградами Российской Федерации, наградами Ивановской области, присвоением почетных званий, награждением почетными грамотами Ивановской областной Думы, Губернатора Ивановской области, иными наградами;</w:t>
      </w:r>
    </w:p>
    <w:p w:rsidR="002461FA" w:rsidRPr="0098497A" w:rsidRDefault="002461FA" w:rsidP="0098497A">
      <w:pPr>
        <w:spacing w:before="60" w:after="60"/>
        <w:ind w:left="426"/>
        <w:jc w:val="both"/>
      </w:pPr>
      <w:r w:rsidRPr="0098497A">
        <w:t>иным основаниям.</w:t>
      </w: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  <w:bookmarkStart w:id="0" w:name="_GoBack"/>
      <w:bookmarkEnd w:id="0"/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spacing w:before="60" w:after="60"/>
        <w:ind w:left="426"/>
        <w:jc w:val="both"/>
      </w:pPr>
    </w:p>
    <w:p w:rsidR="002461FA" w:rsidRPr="0098497A" w:rsidRDefault="002461FA" w:rsidP="0098497A">
      <w:pPr>
        <w:rPr>
          <w:sz w:val="20"/>
          <w:szCs w:val="20"/>
        </w:rPr>
      </w:pPr>
    </w:p>
    <w:p w:rsidR="002461FA" w:rsidRPr="0098497A" w:rsidRDefault="002461FA" w:rsidP="0098497A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2461FA" w:rsidRPr="00FB1EC6" w:rsidRDefault="002461FA" w:rsidP="00096605">
      <w:pPr>
        <w:jc w:val="both"/>
        <w:rPr>
          <w:sz w:val="24"/>
          <w:szCs w:val="24"/>
        </w:rPr>
      </w:pPr>
    </w:p>
    <w:sectPr w:rsidR="002461FA" w:rsidRPr="00FB1EC6" w:rsidSect="0098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AA5"/>
    <w:multiLevelType w:val="hybridMultilevel"/>
    <w:tmpl w:val="77F4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1A6715"/>
    <w:multiLevelType w:val="hybridMultilevel"/>
    <w:tmpl w:val="9C44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E0349"/>
    <w:multiLevelType w:val="hybridMultilevel"/>
    <w:tmpl w:val="AE7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7D"/>
    <w:rsid w:val="00096605"/>
    <w:rsid w:val="000F7F49"/>
    <w:rsid w:val="00191733"/>
    <w:rsid w:val="002461FA"/>
    <w:rsid w:val="002A5D7D"/>
    <w:rsid w:val="00762A2A"/>
    <w:rsid w:val="0080355E"/>
    <w:rsid w:val="00824EE2"/>
    <w:rsid w:val="008933F2"/>
    <w:rsid w:val="0098497A"/>
    <w:rsid w:val="0098779F"/>
    <w:rsid w:val="009A4D3F"/>
    <w:rsid w:val="00A56BCC"/>
    <w:rsid w:val="00AF5037"/>
    <w:rsid w:val="00D910D4"/>
    <w:rsid w:val="00E57196"/>
    <w:rsid w:val="00F75CDA"/>
    <w:rsid w:val="00F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49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10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10D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2016-03-30T12:46:00Z</cp:lastPrinted>
  <dcterms:created xsi:type="dcterms:W3CDTF">2016-04-04T09:56:00Z</dcterms:created>
  <dcterms:modified xsi:type="dcterms:W3CDTF">2016-04-04T09:56:00Z</dcterms:modified>
</cp:coreProperties>
</file>