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F6" w:rsidRPr="00891E8F" w:rsidRDefault="0012625F" w:rsidP="001977F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bookmarkStart w:id="0" w:name="_GoBack"/>
      <w:bookmarkEnd w:id="0"/>
      <w:r w:rsidR="001977F6" w:rsidRPr="00891E8F">
        <w:rPr>
          <w:rFonts w:eastAsia="Calibri"/>
          <w:b/>
          <w:sz w:val="28"/>
          <w:szCs w:val="28"/>
          <w:lang w:eastAsia="en-US"/>
        </w:rPr>
        <w:t>.ОСНОВНАЯ ЧАСТЬ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1.1. Общие положения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F56356">
        <w:rPr>
          <w:rFonts w:eastAsia="Calibri"/>
          <w:bCs/>
        </w:rPr>
        <w:t>Афанасьевского</w:t>
      </w:r>
      <w:proofErr w:type="spellEnd"/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bCs/>
        </w:rPr>
        <w:t>.</w:t>
      </w: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ind w:firstLine="54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1.2. Нормативная база</w:t>
      </w:r>
    </w:p>
    <w:p w:rsidR="001977F6" w:rsidRPr="0028085C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Федеральные законы и иные нормативные акты Российской Федерации;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Государственные стандарты Российской Федерации (ГОСТ);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и правила (СНиП);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Своды правил по проектированию и строительству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15897">
        <w:rPr>
          <w:rFonts w:eastAsia="Calibri"/>
          <w:bCs/>
          <w:lang w:eastAsia="en-US"/>
        </w:rPr>
        <w:t>Ведомственные строительные нормы</w:t>
      </w:r>
      <w:r w:rsidRPr="00615897">
        <w:rPr>
          <w:rFonts w:eastAsia="Calibri"/>
          <w:lang w:eastAsia="en-US"/>
        </w:rPr>
        <w:t xml:space="preserve"> </w:t>
      </w:r>
      <w:r w:rsidRPr="00615897">
        <w:rPr>
          <w:rFonts w:eastAsia="Calibri"/>
          <w:bCs/>
          <w:lang w:eastAsia="en-US"/>
        </w:rPr>
        <w:t>(ВСН);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Отраслевые нормы;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и нормы (СанПиН);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Ветеринарно-санитарные правила;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Руководящие документы (РД, </w:t>
      </w:r>
      <w:proofErr w:type="gramStart"/>
      <w:r w:rsidRPr="00615897">
        <w:rPr>
          <w:rFonts w:eastAsia="Calibri"/>
          <w:bCs/>
        </w:rPr>
        <w:t>СО</w:t>
      </w:r>
      <w:proofErr w:type="gramEnd"/>
      <w:r w:rsidRPr="00615897">
        <w:rPr>
          <w:rFonts w:eastAsia="Calibri"/>
          <w:bCs/>
        </w:rPr>
        <w:t>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Методические документы в строительстве (МДС);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Нормы и правила пожарной безопасности (ППБ, НПБ);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Правила безопасности (ПБ);</w:t>
      </w:r>
    </w:p>
    <w:p w:rsidR="001977F6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Нормативно-правовые акты </w:t>
      </w:r>
      <w:r w:rsidR="00F56356">
        <w:rPr>
          <w:rFonts w:eastAsia="Calibri"/>
          <w:bCs/>
        </w:rPr>
        <w:t>Шуйского муниципального района Ивановской области</w:t>
      </w:r>
      <w:r w:rsidRPr="00615897">
        <w:rPr>
          <w:rFonts w:eastAsia="Calibri"/>
          <w:bCs/>
        </w:rPr>
        <w:t>;</w:t>
      </w:r>
    </w:p>
    <w:p w:rsidR="00F56356" w:rsidRPr="00615897" w:rsidRDefault="00F5635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Нормативно-правовые акты </w:t>
      </w:r>
      <w:proofErr w:type="spellStart"/>
      <w:r>
        <w:rPr>
          <w:rFonts w:eastAsia="Calibri"/>
          <w:bCs/>
        </w:rPr>
        <w:t>Афанасьевского</w:t>
      </w:r>
      <w:proofErr w:type="spellEnd"/>
      <w:r>
        <w:rPr>
          <w:rFonts w:eastAsia="Calibri"/>
          <w:bCs/>
        </w:rPr>
        <w:t xml:space="preserve"> сельского поселения Шуйского муниципального района;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Другие документы.</w:t>
      </w:r>
    </w:p>
    <w:p w:rsidR="001977F6" w:rsidRPr="00615897" w:rsidRDefault="001977F6" w:rsidP="001977F6">
      <w:pPr>
        <w:jc w:val="both"/>
        <w:rPr>
          <w:rFonts w:eastAsia="Calibri"/>
          <w:b/>
        </w:rPr>
      </w:pPr>
    </w:p>
    <w:p w:rsidR="001977F6" w:rsidRPr="00891E8F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1.3. Показатели градостроительного проектирования, устанавливаемые местными нормативами градостроительного проектирования</w:t>
      </w:r>
    </w:p>
    <w:p w:rsidR="001977F6" w:rsidRPr="0028085C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977F6" w:rsidRPr="00615897" w:rsidRDefault="001977F6" w:rsidP="001977F6">
      <w:pPr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 xml:space="preserve">В соответствии с действующим градостроительным законодательством Российской Федерации, нормативы градостроительного проектирования </w:t>
      </w:r>
      <w:proofErr w:type="spellStart"/>
      <w:r w:rsidR="00F56356">
        <w:rPr>
          <w:rFonts w:eastAsia="Calibri"/>
          <w:bCs/>
        </w:rPr>
        <w:t>Афанасьевского</w:t>
      </w:r>
      <w:proofErr w:type="spellEnd"/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>
        <w:rPr>
          <w:rFonts w:eastAsia="Calibri"/>
          <w:bCs/>
        </w:rPr>
        <w:t xml:space="preserve"> </w:t>
      </w:r>
      <w:r w:rsidRPr="00615897">
        <w:rPr>
          <w:rFonts w:eastAsia="Calibri"/>
          <w:lang w:eastAsia="en-US"/>
        </w:rPr>
        <w:t>устанавливают совокупность: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минимально допустимого уровня обеспеченности населения объектами местного значения </w:t>
      </w:r>
      <w:proofErr w:type="spellStart"/>
      <w:r w:rsidR="00F56356">
        <w:rPr>
          <w:rFonts w:eastAsia="Calibri"/>
          <w:bCs/>
        </w:rPr>
        <w:t>Афанасьевского</w:t>
      </w:r>
      <w:proofErr w:type="spellEnd"/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 xml:space="preserve">, отнесённым к таковым градостроительным законодательством Российской Федерации, объектами благоустройства территории, иными объектами местного значения </w:t>
      </w:r>
      <w:proofErr w:type="spellStart"/>
      <w:r w:rsidR="00F56356">
        <w:rPr>
          <w:rFonts w:eastAsia="Calibri"/>
          <w:bCs/>
        </w:rPr>
        <w:t>Афанасьевского</w:t>
      </w:r>
      <w:proofErr w:type="spellEnd"/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;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F56356">
        <w:rPr>
          <w:rFonts w:eastAsia="Calibri"/>
          <w:bCs/>
        </w:rPr>
        <w:t>Афанасьевского</w:t>
      </w:r>
      <w:proofErr w:type="spellEnd"/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.</w:t>
      </w:r>
      <w:r w:rsidR="00F56356">
        <w:rPr>
          <w:rFonts w:eastAsia="Calibri"/>
          <w:lang w:eastAsia="en-US"/>
        </w:rPr>
        <w:t xml:space="preserve"> </w:t>
      </w:r>
    </w:p>
    <w:p w:rsidR="001977F6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:rsidR="00F56356" w:rsidRPr="00615897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lastRenderedPageBreak/>
        <w:t>1.4. Расчетные показатели по объектам, относящимся к областям электро-, тепло-, газо- и водоснабжения населения, водоотведения</w:t>
      </w:r>
    </w:p>
    <w:p w:rsidR="001977F6" w:rsidRDefault="001977F6" w:rsidP="001977F6">
      <w:pPr>
        <w:tabs>
          <w:tab w:val="left" w:pos="0"/>
        </w:tabs>
        <w:contextualSpacing/>
        <w:jc w:val="both"/>
        <w:outlineLvl w:val="1"/>
        <w:rPr>
          <w:rFonts w:eastAsia="Calibri"/>
          <w:sz w:val="28"/>
          <w:szCs w:val="28"/>
          <w:u w:val="single"/>
        </w:rPr>
      </w:pPr>
    </w:p>
    <w:p w:rsidR="001977F6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  <w:r w:rsidRPr="002A5842">
        <w:rPr>
          <w:rFonts w:eastAsia="Calibri"/>
          <w:sz w:val="28"/>
          <w:szCs w:val="28"/>
          <w:u w:val="single"/>
        </w:rPr>
        <w:t>1.4.1.Расчетные показатели объектов, относящихся к области электроснабжения</w:t>
      </w:r>
    </w:p>
    <w:p w:rsidR="00E10A01" w:rsidRDefault="00E10A01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</w:p>
    <w:p w:rsidR="00483AEB" w:rsidRDefault="00E10A01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E10A01">
        <w:rPr>
          <w:color w:val="2D2D2D"/>
          <w:spacing w:val="2"/>
          <w:shd w:val="clear" w:color="auto" w:fill="FFFFFF"/>
        </w:rPr>
        <w:t>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AE653C" w:rsidRPr="00C76F8D" w:rsidRDefault="00AE653C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C76F8D">
        <w:rPr>
          <w:color w:val="2D2D2D"/>
          <w:spacing w:val="2"/>
        </w:rPr>
        <w:t xml:space="preserve">Основные решения по электроснабжению потребителей </w:t>
      </w:r>
      <w:r w:rsidR="00483AEB" w:rsidRPr="00C76F8D">
        <w:rPr>
          <w:color w:val="2D2D2D"/>
          <w:spacing w:val="2"/>
        </w:rPr>
        <w:t>сельских поселений</w:t>
      </w:r>
      <w:r w:rsidRPr="00C76F8D">
        <w:rPr>
          <w:color w:val="2D2D2D"/>
          <w:spacing w:val="2"/>
        </w:rPr>
        <w:t xml:space="preserve"> разрабатываются в концепции развития и реконструкции </w:t>
      </w:r>
      <w:r w:rsidR="00483AEB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генеральном плане</w:t>
      </w:r>
      <w:r w:rsidR="00483AEB" w:rsidRPr="00C76F8D">
        <w:rPr>
          <w:color w:val="2D2D2D"/>
          <w:spacing w:val="2"/>
        </w:rPr>
        <w:t xml:space="preserve"> сельского поселения</w:t>
      </w:r>
      <w:r w:rsidRPr="00C76F8D">
        <w:rPr>
          <w:color w:val="2D2D2D"/>
          <w:spacing w:val="2"/>
        </w:rPr>
        <w:t xml:space="preserve">, проекте детальной планировки и схеме развития электрических сетей </w:t>
      </w:r>
      <w:r w:rsidR="00483AEB" w:rsidRPr="00C76F8D">
        <w:rPr>
          <w:color w:val="2D2D2D"/>
          <w:spacing w:val="2"/>
        </w:rPr>
        <w:t>района</w:t>
      </w:r>
      <w:r w:rsidRPr="00C76F8D">
        <w:rPr>
          <w:color w:val="2D2D2D"/>
          <w:spacing w:val="2"/>
        </w:rPr>
        <w:t>.</w:t>
      </w:r>
    </w:p>
    <w:p w:rsidR="006B6BFD" w:rsidRDefault="00AE653C" w:rsidP="006B6BF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C76F8D">
        <w:rPr>
          <w:color w:val="2D2D2D"/>
          <w:spacing w:val="2"/>
        </w:rPr>
        <w:t xml:space="preserve">В составе концепции развития сельских населенных пунктов рассматриваются основные вопросы перспективного развития системы электроснабжения на расчетный срок с выделением первой очереди, выполняются расчет электрических нагрузок и их баланс, распределение нагрузок по центрам питания (ЦП), закрепление площадок для новых электростанций и подстанций, трасс воздушных и кабельных линий электропередачи 35 </w:t>
      </w:r>
      <w:proofErr w:type="spellStart"/>
      <w:r w:rsidRPr="00C76F8D">
        <w:rPr>
          <w:color w:val="2D2D2D"/>
          <w:spacing w:val="2"/>
        </w:rPr>
        <w:t>кВ</w:t>
      </w:r>
      <w:proofErr w:type="spellEnd"/>
      <w:r w:rsidRPr="00C76F8D">
        <w:rPr>
          <w:color w:val="2D2D2D"/>
          <w:spacing w:val="2"/>
        </w:rPr>
        <w:t xml:space="preserve"> и выше, размещение баз предприя</w:t>
      </w:r>
      <w:r w:rsidR="006B6BFD">
        <w:rPr>
          <w:color w:val="2D2D2D"/>
          <w:spacing w:val="2"/>
        </w:rPr>
        <w:t>тий электрических сетей.</w:t>
      </w:r>
      <w:proofErr w:type="gramEnd"/>
    </w:p>
    <w:p w:rsidR="00C76F8D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C76F8D">
        <w:rPr>
          <w:color w:val="2D2D2D"/>
          <w:spacing w:val="2"/>
        </w:rPr>
        <w:t xml:space="preserve">Результаты расчета электрических нагрузок должны сопоставляться со среднегодовыми темпами роста нагрузок </w:t>
      </w:r>
      <w:r w:rsidR="00C76F8D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полученными из анализа их изменения за последние 5-10 лет и, при необходимости, корректироваться.</w:t>
      </w:r>
      <w:proofErr w:type="gramEnd"/>
    </w:p>
    <w:p w:rsidR="00AE653C" w:rsidRPr="00E63E38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E63E38">
        <w:rPr>
          <w:color w:val="2D2D2D"/>
          <w:spacing w:val="2"/>
        </w:rPr>
        <w:t xml:space="preserve">В объем графического материала по развитию электрических сетей 35 </w:t>
      </w:r>
      <w:proofErr w:type="spellStart"/>
      <w:r w:rsidRPr="00E63E38">
        <w:rPr>
          <w:color w:val="2D2D2D"/>
          <w:spacing w:val="2"/>
        </w:rPr>
        <w:t>кВ</w:t>
      </w:r>
      <w:proofErr w:type="spellEnd"/>
      <w:r w:rsidRPr="00E63E38">
        <w:rPr>
          <w:color w:val="2D2D2D"/>
          <w:spacing w:val="2"/>
        </w:rPr>
        <w:t xml:space="preserve"> и выше должны входить схемы электрических соединений и конфигурация сетей 35 </w:t>
      </w:r>
      <w:proofErr w:type="spellStart"/>
      <w:r w:rsidRPr="00E63E38">
        <w:rPr>
          <w:color w:val="2D2D2D"/>
          <w:spacing w:val="2"/>
        </w:rPr>
        <w:t>кВ</w:t>
      </w:r>
      <w:proofErr w:type="spellEnd"/>
      <w:r w:rsidRPr="00E63E38">
        <w:rPr>
          <w:color w:val="2D2D2D"/>
          <w:spacing w:val="2"/>
        </w:rPr>
        <w:t xml:space="preserve"> и выше на плане города в масштабе 1:25000</w:t>
      </w:r>
      <w:r w:rsidR="00E63E38">
        <w:rPr>
          <w:color w:val="2D2D2D"/>
          <w:spacing w:val="2"/>
        </w:rPr>
        <w:t xml:space="preserve"> </w:t>
      </w:r>
      <w:r w:rsidRPr="00E63E38">
        <w:rPr>
          <w:color w:val="2D2D2D"/>
          <w:spacing w:val="2"/>
        </w:rPr>
        <w:t>(1:10000) с указанием основных параметров элементов системы электроснабжения (нагрузок и мощности трансформаторов ЦП, напряжения, марок кабелей и сечений проводов воздушных линий электропередачи).</w:t>
      </w:r>
      <w:r w:rsidRPr="00E63E38">
        <w:rPr>
          <w:color w:val="2D2D2D"/>
          <w:spacing w:val="2"/>
        </w:rPr>
        <w:br/>
      </w:r>
      <w:proofErr w:type="gramEnd"/>
    </w:p>
    <w:p w:rsidR="00AE653C" w:rsidRPr="00E10A01" w:rsidRDefault="00AE653C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</w:rPr>
      </w:pPr>
    </w:p>
    <w:p w:rsidR="001977F6" w:rsidRPr="00823027" w:rsidRDefault="001977F6" w:rsidP="00E10A01">
      <w:pPr>
        <w:tabs>
          <w:tab w:val="left" w:pos="0"/>
        </w:tabs>
        <w:contextualSpacing/>
        <w:outlineLvl w:val="1"/>
        <w:rPr>
          <w:rFonts w:eastAsia="Calibri"/>
          <w:sz w:val="28"/>
          <w:szCs w:val="28"/>
          <w:u w:val="single"/>
        </w:rPr>
      </w:pPr>
    </w:p>
    <w:tbl>
      <w:tblPr>
        <w:tblW w:w="952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395"/>
        <w:gridCol w:w="2298"/>
        <w:gridCol w:w="1888"/>
        <w:gridCol w:w="1245"/>
        <w:gridCol w:w="1197"/>
        <w:gridCol w:w="1236"/>
        <w:gridCol w:w="1267"/>
      </w:tblGrid>
      <w:tr w:rsidR="001977F6" w:rsidRPr="002A5842" w:rsidTr="00F56356">
        <w:trPr>
          <w:trHeight w:val="746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№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4" w:right="-6"/>
              <w:jc w:val="center"/>
            </w:pPr>
            <w:r w:rsidRPr="002A5842">
              <w:t xml:space="preserve">Наименование объекта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7" w:line="259" w:lineRule="auto"/>
              <w:ind w:right="-6"/>
              <w:jc w:val="center"/>
            </w:pPr>
            <w:r w:rsidRPr="002A5842">
              <w:t>Поселки и сельские поселени</w:t>
            </w:r>
            <w:proofErr w:type="gramStart"/>
            <w:r w:rsidRPr="002A5842">
              <w:t>я(</w:t>
            </w:r>
            <w:proofErr w:type="gramEnd"/>
            <w:r w:rsidRPr="002A5842">
              <w:t xml:space="preserve">без </w:t>
            </w:r>
          </w:p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кондиционеров):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Минимально допустимый уровень обеспеченности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Максимально допустимый уровень территориальной доступности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8" w:right="-6"/>
            </w:pPr>
            <w:r w:rsidRPr="002A5842">
              <w:t xml:space="preserve">Величина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6" w:right="-6"/>
            </w:pPr>
            <w:r w:rsidRPr="002A5842">
              <w:t xml:space="preserve">Величина </w:t>
            </w:r>
          </w:p>
        </w:tc>
      </w:tr>
      <w:tr w:rsidR="001977F6" w:rsidRPr="002A5842" w:rsidTr="00F56356">
        <w:trPr>
          <w:trHeight w:val="2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1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1121" w:right="-6" w:hanging="1121"/>
            </w:pPr>
            <w:r w:rsidRPr="002A5842">
              <w:t>Электропотребление</w:t>
            </w:r>
            <w:r w:rsidRPr="002A5842">
              <w:rPr>
                <w:vertAlign w:val="superscript"/>
              </w:rPr>
              <w:t xml:space="preserve"> </w:t>
            </w:r>
            <w:r w:rsidRPr="002A5842"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не </w:t>
            </w: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кВт·</w:t>
            </w:r>
            <w:proofErr w:type="gramStart"/>
            <w:r w:rsidRPr="002A5842">
              <w:t>ч</w:t>
            </w:r>
            <w:proofErr w:type="gramEnd"/>
            <w:r w:rsidRPr="002A5842">
              <w:t xml:space="preserve"> / год на 1 чел.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950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(100% охвата)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1350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  <w:tr w:rsidR="001977F6" w:rsidRPr="002A5842" w:rsidTr="00F56356">
        <w:trPr>
          <w:trHeight w:val="2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2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Электроэнергия, использование </w:t>
            </w:r>
            <w:r w:rsidRPr="002A5842">
              <w:lastRenderedPageBreak/>
              <w:t xml:space="preserve">максимума электрической нагрузки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lastRenderedPageBreak/>
              <w:t xml:space="preserve">не </w:t>
            </w: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</w:t>
            </w:r>
            <w:r w:rsidRPr="002A5842">
              <w:lastRenderedPageBreak/>
              <w:t xml:space="preserve">стационарными электроплитами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" w:right="-6"/>
              <w:jc w:val="center"/>
            </w:pPr>
            <w:proofErr w:type="gramStart"/>
            <w:r w:rsidRPr="002A5842">
              <w:lastRenderedPageBreak/>
              <w:t>ч</w:t>
            </w:r>
            <w:proofErr w:type="gramEnd"/>
            <w:r w:rsidRPr="002A5842">
              <w:t xml:space="preserve"> /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4100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(100% охвата)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4400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</w:tbl>
    <w:p w:rsidR="001977F6" w:rsidRPr="00CF0593" w:rsidRDefault="001977F6" w:rsidP="001977F6">
      <w:pPr>
        <w:spacing w:after="20" w:line="259" w:lineRule="auto"/>
        <w:ind w:right="-6" w:firstLine="720"/>
        <w:jc w:val="both"/>
      </w:pPr>
      <w:r w:rsidRPr="00CF0593">
        <w:rPr>
          <w:u w:val="single" w:color="000000"/>
        </w:rPr>
        <w:t>Примечания</w:t>
      </w:r>
      <w:r w:rsidRPr="00CF0593">
        <w:t>:</w:t>
      </w:r>
    </w:p>
    <w:p w:rsidR="001977F6" w:rsidRPr="00CF0593" w:rsidRDefault="001977F6" w:rsidP="001977F6">
      <w:pPr>
        <w:spacing w:after="11" w:line="269" w:lineRule="auto"/>
        <w:ind w:right="-6" w:firstLine="720"/>
        <w:jc w:val="both"/>
      </w:pPr>
      <w:r w:rsidRPr="00CF0593">
        <w:t>1. </w:t>
      </w:r>
      <w:r w:rsidR="0009481D">
        <w:t>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сетей.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«ЕЭС России» 31.05.1994 (далее – РД 34.20.185-94).</w:t>
      </w:r>
    </w:p>
    <w:p w:rsidR="001977F6" w:rsidRDefault="001977F6" w:rsidP="0009481D">
      <w:pPr>
        <w:spacing w:after="11" w:line="269" w:lineRule="auto"/>
        <w:ind w:right="-6" w:firstLine="720"/>
        <w:jc w:val="both"/>
      </w:pPr>
      <w:r w:rsidRPr="00CF0593">
        <w:t>2. Условия применения стационарных электроплит в жилой застройке, а также районы применения населением бытовых кондиционеров принимат</w:t>
      </w:r>
      <w:r w:rsidR="0009481D">
        <w:t>ь в соответствии с СП 54.13330.</w:t>
      </w:r>
    </w:p>
    <w:p w:rsidR="0009481D" w:rsidRPr="0009481D" w:rsidRDefault="0009481D" w:rsidP="0009481D">
      <w:pPr>
        <w:spacing w:after="11" w:line="269" w:lineRule="auto"/>
        <w:ind w:right="-6" w:firstLine="720"/>
        <w:jc w:val="both"/>
      </w:pPr>
      <w:r>
        <w:t xml:space="preserve">3. </w:t>
      </w:r>
      <w:r>
        <w:rPr>
          <w:color w:val="333333"/>
          <w:shd w:val="clear" w:color="auto" w:fill="FFFFFF"/>
        </w:rPr>
        <w:t>П</w:t>
      </w:r>
      <w:r w:rsidRPr="0009481D">
        <w:rPr>
          <w:color w:val="333333"/>
          <w:shd w:val="clear" w:color="auto" w:fill="FFFFFF"/>
        </w:rPr>
        <w:t>отребления </w:t>
      </w:r>
      <w:r w:rsidRPr="0009481D">
        <w:rPr>
          <w:b/>
          <w:bCs/>
          <w:color w:val="333333"/>
          <w:shd w:val="clear" w:color="auto" w:fill="FFFFFF"/>
        </w:rPr>
        <w:t>электрической</w:t>
      </w:r>
      <w:r w:rsidRPr="0009481D">
        <w:rPr>
          <w:color w:val="333333"/>
          <w:shd w:val="clear" w:color="auto" w:fill="FFFFFF"/>
        </w:rPr>
        <w:t> </w:t>
      </w:r>
      <w:r w:rsidRPr="0009481D">
        <w:rPr>
          <w:b/>
          <w:bCs/>
          <w:color w:val="333333"/>
          <w:shd w:val="clear" w:color="auto" w:fill="FFFFFF"/>
        </w:rPr>
        <w:t>энергии</w:t>
      </w:r>
      <w:r w:rsidRPr="0009481D">
        <w:rPr>
          <w:color w:val="333333"/>
          <w:shd w:val="clear" w:color="auto" w:fill="FFFFFF"/>
        </w:rPr>
        <w:t>, эксплуатации электрического оборудования на территории СНТ</w:t>
      </w:r>
      <w:r>
        <w:rPr>
          <w:color w:val="333333"/>
          <w:shd w:val="clear" w:color="auto" w:fill="FFFFFF"/>
        </w:rPr>
        <w:t xml:space="preserve"> определяется в соответствии с </w:t>
      </w:r>
      <w:r w:rsidRPr="0009481D">
        <w:rPr>
          <w:color w:val="333333"/>
          <w:shd w:val="clear" w:color="auto" w:fill="FFFFFF"/>
        </w:rPr>
        <w:t>СП 53.13330.2011</w:t>
      </w:r>
      <w:r>
        <w:rPr>
          <w:color w:val="333333"/>
          <w:shd w:val="clear" w:color="auto" w:fill="FFFFFF"/>
        </w:rPr>
        <w:t>.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1.4.2. Расчетные показатели объектов, относящихся к области тепло</w:t>
      </w:r>
      <w:proofErr w:type="gramStart"/>
      <w:r w:rsidRPr="0028085C">
        <w:rPr>
          <w:rFonts w:eastAsia="Calibri"/>
          <w:sz w:val="28"/>
          <w:szCs w:val="28"/>
          <w:u w:val="single"/>
          <w:lang w:eastAsia="en-US"/>
        </w:rPr>
        <w:t xml:space="preserve">-, </w:t>
      </w:r>
      <w:proofErr w:type="gramEnd"/>
    </w:p>
    <w:p w:rsidR="001977F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Г</w:t>
      </w:r>
      <w:r w:rsidR="001977F6" w:rsidRPr="0028085C">
        <w:rPr>
          <w:rFonts w:eastAsia="Calibri"/>
          <w:sz w:val="28"/>
          <w:szCs w:val="28"/>
          <w:u w:val="single"/>
          <w:lang w:eastAsia="en-US"/>
        </w:rPr>
        <w:t>азоснабжения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rFonts w:eastAsia="Calibri"/>
          <w:lang w:eastAsia="en-US"/>
        </w:rPr>
        <w:t xml:space="preserve">Газоснабжение сельских населенных пунктов необходимо предусматривать в соответствии с </w:t>
      </w:r>
      <w:r w:rsidRPr="00071F16">
        <w:rPr>
          <w:bCs/>
          <w:color w:val="333333"/>
          <w:shd w:val="clear" w:color="auto" w:fill="FFFFFF"/>
        </w:rPr>
        <w:t>СП</w:t>
      </w:r>
      <w:r w:rsidRPr="00071F16">
        <w:rPr>
          <w:color w:val="333333"/>
          <w:shd w:val="clear" w:color="auto" w:fill="FFFFFF"/>
        </w:rPr>
        <w:t> 62.13330.2011*</w:t>
      </w: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color w:val="2D2D2D"/>
          <w:spacing w:val="2"/>
          <w:shd w:val="clear" w:color="auto" w:fill="FFFFFF"/>
        </w:rPr>
        <w:t>Газораспределительные станции магистральных газопроводов следует размещать за пределами поселений в соответствии с требованиями </w:t>
      </w:r>
      <w:r>
        <w:rPr>
          <w:color w:val="2D2D2D"/>
          <w:spacing w:val="2"/>
          <w:shd w:val="clear" w:color="auto" w:fill="FFFFFF"/>
        </w:rPr>
        <w:br/>
      </w:r>
      <w:hyperlink r:id="rId8" w:history="1">
        <w:r w:rsidRPr="00071F16">
          <w:rPr>
            <w:rStyle w:val="a7"/>
            <w:color w:val="0D0D0D" w:themeColor="text1" w:themeTint="F2"/>
            <w:spacing w:val="2"/>
            <w:u w:val="none"/>
            <w:shd w:val="clear" w:color="auto" w:fill="FFFFFF"/>
          </w:rPr>
          <w:t>СП 36.13330</w:t>
        </w:r>
      </w:hyperlink>
      <w:r w:rsidR="003827C2">
        <w:rPr>
          <w:color w:val="0D0D0D" w:themeColor="text1" w:themeTint="F2"/>
        </w:rPr>
        <w:t>.2012</w:t>
      </w:r>
      <w:r w:rsidRPr="00071F16">
        <w:rPr>
          <w:color w:val="0D0D0D" w:themeColor="text1" w:themeTint="F2"/>
          <w:spacing w:val="2"/>
          <w:shd w:val="clear" w:color="auto" w:fill="FFFFFF"/>
        </w:rPr>
        <w:t>.</w:t>
      </w:r>
    </w:p>
    <w:p w:rsidR="00071F16" w:rsidRPr="00071F16" w:rsidRDefault="003827C2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Проектирование систем </w:t>
      </w:r>
      <w:proofErr w:type="spellStart"/>
      <w:r>
        <w:rPr>
          <w:rFonts w:eastAsia="Calibri"/>
          <w:lang w:eastAsia="en-US"/>
        </w:rPr>
        <w:t>газопотребления</w:t>
      </w:r>
      <w:proofErr w:type="spellEnd"/>
      <w:r>
        <w:rPr>
          <w:rFonts w:eastAsia="Calibri"/>
          <w:lang w:eastAsia="en-US"/>
        </w:rPr>
        <w:t xml:space="preserve"> в жилых зданиях осуществляется в соответствии с СП 402.1325800.2018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977F6" w:rsidRPr="0028085C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2"/>
        <w:gridCol w:w="3381"/>
        <w:gridCol w:w="1426"/>
        <w:gridCol w:w="1289"/>
        <w:gridCol w:w="1528"/>
        <w:gridCol w:w="1220"/>
      </w:tblGrid>
      <w:tr w:rsidR="001977F6" w:rsidRPr="00615897" w:rsidTr="00F56356">
        <w:trPr>
          <w:trHeight w:val="20"/>
          <w:tblHeader/>
        </w:trPr>
        <w:tc>
          <w:tcPr>
            <w:tcW w:w="673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267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  <w:tblHeader/>
        </w:trPr>
        <w:tc>
          <w:tcPr>
            <w:tcW w:w="673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наличии централизованного горячего водоснабжения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горячем водоснабжении от газовых водонагревателей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32" w:type="dxa"/>
            <w:vAlign w:val="center"/>
          </w:tcPr>
          <w:p w:rsidR="001977F6" w:rsidRPr="00F87FE7" w:rsidRDefault="001977F6" w:rsidP="00F56356">
            <w:pPr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 xml:space="preserve">Природный газ, </w:t>
            </w:r>
            <w:r w:rsidRPr="00F87FE7">
              <w:rPr>
                <w:rFonts w:eastAsia="Calibri" w:cs="Calibri"/>
                <w:szCs w:val="22"/>
                <w:lang w:eastAsia="en-US"/>
              </w:rPr>
              <w:t>при отсутствии всяких видов горячего водоснабжения</w:t>
            </w:r>
          </w:p>
        </w:tc>
        <w:tc>
          <w:tcPr>
            <w:tcW w:w="1405" w:type="dxa"/>
            <w:vAlign w:val="center"/>
          </w:tcPr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м</w:t>
            </w:r>
            <w:r w:rsidRPr="00F87FE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F87FE7">
              <w:rPr>
                <w:rFonts w:eastAsia="Calibri"/>
                <w:lang w:eastAsia="en-US"/>
              </w:rPr>
              <w:t>/ год</w:t>
            </w:r>
          </w:p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F87FE7" w:rsidRDefault="00F87FE7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Тепловая нагрузка, </w:t>
            </w:r>
          </w:p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расход газа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Гкал, м3/чел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lastRenderedPageBreak/>
        <w:t>1)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3)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1.4.3. Расчетные показатели объектов, относящихся к области водоснабжения населения</w:t>
      </w: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1292"/>
        <w:gridCol w:w="1272"/>
        <w:gridCol w:w="1292"/>
        <w:gridCol w:w="1215"/>
      </w:tblGrid>
      <w:tr w:rsidR="001977F6" w:rsidRPr="00615897" w:rsidTr="00F56356">
        <w:trPr>
          <w:trHeight w:val="20"/>
        </w:trPr>
        <w:tc>
          <w:tcPr>
            <w:tcW w:w="4499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Наименование норматива,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потребители ресурса</w:t>
            </w:r>
          </w:p>
        </w:tc>
        <w:tc>
          <w:tcPr>
            <w:tcW w:w="256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50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колонки), с водопроводом и канализацией, без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160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 w:val="restart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 с водопроводом и канализацией, с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highlight w:val="cyan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Тоже, с индивидуальными котлами (АОГВ) с отбором мощности, без отбора мощности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val="en-US"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с канализацией, с ванной (80%)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без канализации, без ванн (30%)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с газовыми водонагревателями (бойлеры, газовые колонки), без водопровода, без канализации (18%)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</w:t>
            </w:r>
            <w:r w:rsidRPr="00615897">
              <w:rPr>
                <w:rFonts w:eastAsia="Calibri"/>
                <w:szCs w:val="22"/>
                <w:lang w:eastAsia="en-US"/>
              </w:rPr>
              <w:t xml:space="preserve"> с водопроводом, канализацией, без ванной с </w:t>
            </w:r>
            <w:r w:rsidRPr="00615897">
              <w:rPr>
                <w:rFonts w:eastAsia="Calibri"/>
                <w:szCs w:val="22"/>
                <w:lang w:eastAsia="en-US"/>
              </w:rPr>
              <w:lastRenderedPageBreak/>
              <w:t>водонагревателями, работающими на твердом топливе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lastRenderedPageBreak/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То же, с газовыми водонагревателями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/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 Указанные нормы следует применять с учётом требований табл.</w:t>
      </w:r>
      <w:r w:rsidR="00E94907">
        <w:rPr>
          <w:rFonts w:eastAsia="Calibri"/>
          <w:lang w:eastAsia="en-US"/>
        </w:rPr>
        <w:t xml:space="preserve"> </w:t>
      </w:r>
      <w:r w:rsidRPr="0028085C">
        <w:rPr>
          <w:rFonts w:eastAsia="Calibri"/>
          <w:lang w:eastAsia="en-US"/>
        </w:rPr>
        <w:t>1 СП 31.13330.2012.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 xml:space="preserve">3) Указанные нормы следует применять с учётом требований СП 30.13330.2012. </w:t>
      </w: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1.4.4. Расчетные показатели объектов, относящихся к области водоотведения</w:t>
      </w:r>
    </w:p>
    <w:p w:rsidR="001977F6" w:rsidRPr="0028085C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168"/>
        <w:gridCol w:w="1987"/>
        <w:gridCol w:w="1311"/>
        <w:gridCol w:w="1371"/>
        <w:gridCol w:w="1244"/>
      </w:tblGrid>
      <w:tr w:rsidR="001977F6" w:rsidRPr="00615897" w:rsidTr="00F56356">
        <w:trPr>
          <w:trHeight w:val="20"/>
        </w:trPr>
        <w:tc>
          <w:tcPr>
            <w:tcW w:w="44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0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330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61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37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многоквартирными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индивидуальными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Дождевая канализация. Суточный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объем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поверхностного стока, поступающий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 xml:space="preserve">очистные сооружения 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15897">
                <w:rPr>
                  <w:rFonts w:eastAsia="Calibri"/>
                  <w:lang w:eastAsia="en-US"/>
                </w:rPr>
                <w:t>1 га</w:t>
              </w:r>
            </w:smartTag>
            <w:r w:rsidRPr="00615897">
              <w:rPr>
                <w:rFonts w:eastAsia="Calibri"/>
                <w:lang w:eastAsia="en-US"/>
              </w:rPr>
              <w:t xml:space="preserve"> территории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06DA1" w:rsidRPr="00206DA1" w:rsidRDefault="00206DA1" w:rsidP="00206DA1">
      <w:pPr>
        <w:contextualSpacing/>
        <w:jc w:val="center"/>
        <w:rPr>
          <w:b/>
          <w:bCs/>
          <w:sz w:val="28"/>
          <w:szCs w:val="28"/>
        </w:rPr>
        <w:sectPr w:rsidR="00206DA1" w:rsidRPr="00206DA1" w:rsidSect="00C5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A1" w:rsidRPr="00666E6A" w:rsidRDefault="00206DA1" w:rsidP="00666E6A">
      <w:pPr>
        <w:keepNext/>
        <w:keepLines/>
        <w:contextualSpacing/>
        <w:jc w:val="center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1.5</w:t>
      </w:r>
      <w:r w:rsidR="001977F6" w:rsidRPr="0028085C">
        <w:rPr>
          <w:bCs/>
          <w:sz w:val="28"/>
          <w:szCs w:val="28"/>
          <w:u w:val="single"/>
        </w:rPr>
        <w:t xml:space="preserve"> </w:t>
      </w:r>
      <w:r w:rsidR="001977F6" w:rsidRPr="00666E6A">
        <w:rPr>
          <w:bCs/>
          <w:sz w:val="28"/>
          <w:szCs w:val="28"/>
          <w:u w:val="single"/>
        </w:rPr>
        <w:t xml:space="preserve">Расчетные показатели </w:t>
      </w:r>
    </w:p>
    <w:p w:rsidR="00206DA1" w:rsidRPr="00666E6A" w:rsidRDefault="00206DA1" w:rsidP="00206DA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для автомобильных дорог местного значения </w:t>
      </w:r>
      <w:proofErr w:type="spellStart"/>
      <w:r w:rsidRPr="00666E6A">
        <w:rPr>
          <w:rFonts w:ascii="Times New Roman" w:hAnsi="Times New Roman" w:cs="Times New Roman"/>
          <w:sz w:val="28"/>
          <w:szCs w:val="28"/>
          <w:u w:val="single"/>
        </w:rPr>
        <w:t>Афанасьевского</w:t>
      </w:r>
      <w:proofErr w:type="spellEnd"/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206DA1" w:rsidRDefault="00206DA1" w:rsidP="00206DA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хранения легковых автомобилей постоянного населения города, расположенные вблизи от мест 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бизнес-класса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roofErr w:type="spellStart"/>
            <w:r>
              <w:t>Афанасьевское</w:t>
            </w:r>
            <w:proofErr w:type="spellEnd"/>
            <w: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roofErr w:type="spellStart"/>
            <w:r>
              <w:t>Афанасьевское</w:t>
            </w:r>
            <w:proofErr w:type="spellEnd"/>
            <w: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206DA1">
            <w:proofErr w:type="spellStart"/>
            <w:r>
              <w:lastRenderedPageBreak/>
              <w:t>Афанасьевское</w:t>
            </w:r>
            <w:proofErr w:type="spellEnd"/>
            <w:r>
              <w:t xml:space="preserve"> СП</w:t>
            </w:r>
            <w:r w:rsidRPr="00300D61"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roofErr w:type="spellStart"/>
            <w:r>
              <w:t>Афанасьевское</w:t>
            </w:r>
            <w:proofErr w:type="spellEnd"/>
            <w: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операционного зала (залов),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Банки и банковские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клубных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(офисных), лабораторных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складских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торговых залов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торговых залов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рынка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рынка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приемщиков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постоянных мест в читальных залах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-место (не менее 10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на трибунах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Тренажерные залы площадью 150 - 500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дальнего следования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автомобилей,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480DB2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480DB2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480DB2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6DA1" w:rsidRPr="00BC339D" w:rsidRDefault="00206DA1" w:rsidP="0020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Примечания: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 xml:space="preserve"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 xml:space="preserve">3. Габариты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 xml:space="preserve">-места следует принимать в соответствии с национальным стандартом Российской Федерации ГОСТ </w:t>
      </w:r>
      <w:proofErr w:type="gramStart"/>
      <w:r w:rsidRPr="00BC33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339D">
        <w:rPr>
          <w:rFonts w:ascii="Times New Roman" w:hAnsi="Times New Roman" w:cs="Times New Roman"/>
          <w:sz w:val="24"/>
          <w:szCs w:val="24"/>
        </w:rP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 для размещения транспортных средств маломобильных групп населения.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 xml:space="preserve">4. Если действующим законодательством установлены иные предельные значения территориальной доступности для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-мест, на которых располагаются транспортные средства маломобильных групп населения, то применяются такие нормы.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- до 800 м.</w:t>
      </w:r>
    </w:p>
    <w:p w:rsidR="00206DA1" w:rsidRDefault="00206DA1" w:rsidP="00666E6A">
      <w:pPr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708"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536D8F" w:rsidRDefault="001977F6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>Параметры, включая размеры, перечисленных элементов улично-дорожной сети, ширина основных улиц и дорог в красных линиях, определяются проектами планировки территорий.</w:t>
      </w:r>
    </w:p>
    <w:p w:rsidR="00536D8F" w:rsidRPr="00536D8F" w:rsidRDefault="00536D8F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color w:val="2D2D2D"/>
          <w:spacing w:val="2"/>
          <w:shd w:val="clear" w:color="auto" w:fill="FFFFFF"/>
        </w:rPr>
        <w:t xml:space="preserve">Классификацию и расчетные параметры улиц и дорог сельских поселений следует принимать по таблицам 11.3 и 11.4 СП 42.13330.2016 </w:t>
      </w:r>
    </w:p>
    <w:p w:rsidR="001977F6" w:rsidRPr="00615897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keepNext/>
        <w:keepLines/>
        <w:contextualSpacing/>
        <w:jc w:val="center"/>
        <w:outlineLvl w:val="2"/>
        <w:rPr>
          <w:b/>
          <w:bCs/>
          <w:sz w:val="28"/>
          <w:szCs w:val="28"/>
        </w:rPr>
      </w:pPr>
      <w:r w:rsidRPr="00891E8F">
        <w:rPr>
          <w:b/>
          <w:bCs/>
          <w:sz w:val="28"/>
          <w:szCs w:val="28"/>
        </w:rPr>
        <w:t>1.6. Расчетные показатели объектов, относящихся к областям физической культуры и массового спорта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5108"/>
        <w:gridCol w:w="2195"/>
        <w:gridCol w:w="2063"/>
        <w:gridCol w:w="2523"/>
        <w:gridCol w:w="2064"/>
      </w:tblGrid>
      <w:tr w:rsidR="001977F6" w:rsidRPr="00615897" w:rsidTr="00F56356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val="en-US" w:eastAsia="en-US"/>
              </w:rPr>
              <w:t>1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</w:t>
            </w:r>
            <w:proofErr w:type="gramStart"/>
            <w:r w:rsidRPr="00615897">
              <w:rPr>
                <w:rFonts w:eastAsia="Calibri"/>
                <w:lang w:eastAsia="en-US"/>
              </w:rPr>
              <w:t>.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5897">
              <w:rPr>
                <w:rFonts w:eastAsia="Calibri"/>
                <w:lang w:eastAsia="en-US"/>
              </w:rPr>
              <w:t>п</w:t>
            </w:r>
            <w:proofErr w:type="gramEnd"/>
            <w:r w:rsidRPr="00615897">
              <w:rPr>
                <w:rFonts w:eastAsia="Calibri"/>
                <w:lang w:eastAsia="en-US"/>
              </w:rPr>
              <w:t>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t>Спортивные залы общего пользования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</w:t>
            </w:r>
            <w:proofErr w:type="gramStart"/>
            <w:r w:rsidRPr="00615897">
              <w:rPr>
                <w:rFonts w:eastAsia="Calibri"/>
                <w:lang w:eastAsia="en-US"/>
              </w:rPr>
              <w:t>.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5897">
              <w:rPr>
                <w:rFonts w:eastAsia="Calibri"/>
                <w:lang w:eastAsia="en-US"/>
              </w:rPr>
              <w:t>п</w:t>
            </w:r>
            <w:proofErr w:type="gramEnd"/>
            <w:r w:rsidRPr="00615897">
              <w:rPr>
                <w:rFonts w:eastAsia="Calibri"/>
                <w:lang w:eastAsia="en-US"/>
              </w:rPr>
              <w:t>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Территория плоскостных спортивных сооружений микрорайона (квартала)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га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</w:tbl>
    <w:p w:rsidR="001977F6" w:rsidRPr="00615897" w:rsidRDefault="001977F6" w:rsidP="001977F6">
      <w:pPr>
        <w:jc w:val="both"/>
        <w:rPr>
          <w:rFonts w:eastAsia="Calibri"/>
          <w:bCs/>
          <w:lang w:eastAsia="en-US"/>
        </w:rPr>
      </w:pPr>
    </w:p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1" w:name="_Toc395512998"/>
      <w:r w:rsidRPr="00891E8F">
        <w:rPr>
          <w:rFonts w:eastAsia="Calibri"/>
          <w:b/>
          <w:sz w:val="28"/>
          <w:szCs w:val="28"/>
        </w:rPr>
        <w:t>1.10. Расчетные показатели объектов жилищного строительства муниципальной собственности, помещений муниципального жилищного фонда</w:t>
      </w:r>
      <w:bookmarkEnd w:id="1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836"/>
        <w:gridCol w:w="1611"/>
        <w:gridCol w:w="1511"/>
        <w:gridCol w:w="1565"/>
        <w:gridCol w:w="1513"/>
      </w:tblGrid>
      <w:tr w:rsidR="001977F6" w:rsidRPr="00615897" w:rsidTr="00F56356">
        <w:trPr>
          <w:trHeight w:val="778"/>
        </w:trPr>
        <w:tc>
          <w:tcPr>
            <w:tcW w:w="5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24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18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18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71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Учётная норма площади жилого помещения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Норма предоставления площади жилого помещения по договору социального найма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854797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8547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1.11. Расчетные показатели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1977F6" w:rsidRPr="00615897" w:rsidRDefault="001977F6" w:rsidP="001977F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610"/>
        <w:gridCol w:w="1945"/>
        <w:gridCol w:w="1742"/>
        <w:gridCol w:w="1497"/>
        <w:gridCol w:w="1264"/>
      </w:tblGrid>
      <w:tr w:rsidR="001977F6" w:rsidRPr="00615897" w:rsidTr="00F56356">
        <w:trPr>
          <w:trHeight w:val="778"/>
        </w:trPr>
        <w:tc>
          <w:tcPr>
            <w:tcW w:w="524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61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68"/>
        </w:trPr>
        <w:tc>
          <w:tcPr>
            <w:tcW w:w="524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348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Отделение связи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 xml:space="preserve">по нормам и правилам министерства связи и массовых </w:t>
            </w:r>
            <w:r w:rsidRPr="00615897">
              <w:rPr>
                <w:rFonts w:eastAsia="Calibri"/>
              </w:rPr>
              <w:lastRenderedPageBreak/>
              <w:t>коммуникаций РФ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м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77F6" w:rsidRPr="00615897" w:rsidRDefault="00813C12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>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непродовольственных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>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  <w:r w:rsidR="001977F6" w:rsidRPr="006158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97" w:type="dxa"/>
            <w:vMerge/>
            <w:shd w:val="clear" w:color="auto" w:fill="auto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Предприятие общественного питания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  <w:r w:rsidR="00416C58">
              <w:rPr>
                <w:rFonts w:eastAsia="Calibri"/>
                <w:lang w:eastAsia="en-US"/>
              </w:rPr>
              <w:t>о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5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Баня, сауна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</w:tr>
    </w:tbl>
    <w:p w:rsidR="001977F6" w:rsidRPr="00615897" w:rsidRDefault="001977F6" w:rsidP="001977F6">
      <w:pPr>
        <w:ind w:firstLine="709"/>
        <w:jc w:val="both"/>
        <w:rPr>
          <w:rFonts w:eastAsia="Calibri"/>
          <w:b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1.12. Расчетные показатели объектов библиотечного обслуживания населения</w:t>
      </w:r>
    </w:p>
    <w:p w:rsidR="001977F6" w:rsidRPr="00D97F14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3167"/>
        <w:gridCol w:w="3686"/>
        <w:gridCol w:w="4394"/>
        <w:gridCol w:w="3054"/>
      </w:tblGrid>
      <w:tr w:rsidR="004522AB" w:rsidRPr="00615897" w:rsidTr="004522AB">
        <w:trPr>
          <w:trHeight w:val="1564"/>
        </w:trPr>
        <w:tc>
          <w:tcPr>
            <w:tcW w:w="485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7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6" w:type="dxa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4522AB" w:rsidRPr="00615897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Расчетные показатели максимального допустимого уровня территориальной доступности (</w:t>
            </w:r>
            <w:r>
              <w:t xml:space="preserve">Трансп. для </w:t>
            </w:r>
            <w:proofErr w:type="spellStart"/>
            <w:r>
              <w:t>жит</w:t>
            </w:r>
            <w:proofErr w:type="gramStart"/>
            <w:r>
              <w:t>.с</w:t>
            </w:r>
            <w:proofErr w:type="gramEnd"/>
            <w:r>
              <w:t>.п</w:t>
            </w:r>
            <w:proofErr w:type="spellEnd"/>
            <w:r>
              <w:t>, мин.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</w:tr>
      <w:tr w:rsidR="004522AB" w:rsidRPr="00615897" w:rsidTr="004522AB">
        <w:trPr>
          <w:trHeight w:val="1821"/>
        </w:trPr>
        <w:tc>
          <w:tcPr>
            <w:tcW w:w="485" w:type="dxa"/>
            <w:vAlign w:val="center"/>
          </w:tcPr>
          <w:p w:rsidR="004522AB" w:rsidRP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 w:rsidRPr="004522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67" w:type="dxa"/>
            <w:vAlign w:val="center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Сельские массовые библиотеки на 1 тыс. чел. Зоны обслуживания (из расчета 30-минутной доступности) для сельских поселений или их групп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тыс. чел: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св. 1 до 2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5-10</w:t>
            </w:r>
          </w:p>
        </w:tc>
        <w:tc>
          <w:tcPr>
            <w:tcW w:w="3686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6,5-7 тыс. ед. хранения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5-6 читательское место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4,5-5</w:t>
            </w: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439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1.13. Расчетные показатели объектов организаций культуры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867"/>
        <w:gridCol w:w="1625"/>
        <w:gridCol w:w="1427"/>
        <w:gridCol w:w="1670"/>
        <w:gridCol w:w="1423"/>
      </w:tblGrid>
      <w:tr w:rsidR="001977F6" w:rsidRPr="00615897" w:rsidTr="00F56356">
        <w:trPr>
          <w:trHeight w:val="778"/>
        </w:trPr>
        <w:tc>
          <w:tcPr>
            <w:tcW w:w="57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05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93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7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426"/>
        </w:trPr>
        <w:tc>
          <w:tcPr>
            <w:tcW w:w="9582" w:type="dxa"/>
            <w:gridSpan w:val="6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Объекты организаций культуры микрорайонного (квартала) значения</w:t>
            </w:r>
          </w:p>
        </w:tc>
      </w:tr>
      <w:tr w:rsidR="001977F6" w:rsidRPr="00615897" w:rsidTr="00F56356">
        <w:trPr>
          <w:trHeight w:val="1649"/>
        </w:trPr>
        <w:tc>
          <w:tcPr>
            <w:tcW w:w="5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6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Помещения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культурно-массовой работы с населением, досуга и любительской деятельности</w:t>
            </w: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proofErr w:type="gramStart"/>
            <w:r w:rsidRPr="00615897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площади пола на 1 тыс. чел.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50-60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ind w:firstLine="30"/>
              <w:contextualSpacing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ind w:firstLine="82"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1500</w:t>
            </w:r>
          </w:p>
        </w:tc>
      </w:tr>
    </w:tbl>
    <w:p w:rsidR="001977F6" w:rsidRPr="00464EFE" w:rsidRDefault="001977F6" w:rsidP="001977F6">
      <w:pPr>
        <w:ind w:firstLine="720"/>
        <w:contextualSpacing/>
        <w:jc w:val="both"/>
        <w:rPr>
          <w:u w:val="single"/>
        </w:rPr>
      </w:pPr>
      <w:r w:rsidRPr="00464EFE">
        <w:rPr>
          <w:u w:val="single"/>
        </w:rPr>
        <w:t>Примечание:</w:t>
      </w:r>
    </w:p>
    <w:p w:rsidR="001977F6" w:rsidRPr="00464EFE" w:rsidRDefault="001977F6" w:rsidP="001977F6">
      <w:pPr>
        <w:ind w:firstLine="720"/>
        <w:contextualSpacing/>
        <w:jc w:val="both"/>
        <w:rPr>
          <w:rFonts w:eastAsia="Calibri"/>
          <w:b/>
          <w:lang w:eastAsia="en-US"/>
        </w:rPr>
      </w:pPr>
      <w:r w:rsidRPr="00464EFE">
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</w:t>
      </w:r>
      <w:smartTag w:uri="urn:schemas-microsoft-com:office:smarttags" w:element="metricconverter">
        <w:smartTagPr>
          <w:attr w:name="ProductID" w:val="500 м"/>
        </w:smartTagPr>
        <w:r w:rsidRPr="00464EFE">
          <w:t>500 м</w:t>
        </w:r>
      </w:smartTag>
      <w:r w:rsidRPr="00464EFE">
        <w:t>.</w:t>
      </w:r>
    </w:p>
    <w:p w:rsidR="001977F6" w:rsidRDefault="001977F6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Pr="00464EFE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1977F6" w:rsidRPr="00891E8F" w:rsidRDefault="001977F6" w:rsidP="001977F6">
      <w:pPr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_Toc395513011"/>
      <w:r w:rsidRPr="00891E8F">
        <w:rPr>
          <w:rFonts w:eastAsia="Calibri" w:cs="Calibri"/>
          <w:b/>
          <w:sz w:val="28"/>
          <w:szCs w:val="28"/>
          <w:lang w:eastAsia="en-US"/>
        </w:rPr>
        <w:lastRenderedPageBreak/>
        <w:t xml:space="preserve">1.14. </w:t>
      </w:r>
      <w:r w:rsidRPr="00891E8F">
        <w:rPr>
          <w:rFonts w:eastAsia="Calibri"/>
          <w:b/>
          <w:sz w:val="28"/>
          <w:szCs w:val="28"/>
          <w:lang w:eastAsia="en-US"/>
        </w:rPr>
        <w:t>Расчетные показатели муниципальных объектов, предназначенных для организации ритуальных услуг, мест захоронения</w:t>
      </w:r>
      <w:bookmarkEnd w:id="2"/>
    </w:p>
    <w:p w:rsidR="00781BC3" w:rsidRPr="006B6126" w:rsidRDefault="00781BC3" w:rsidP="00781BC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781BC3" w:rsidRPr="006B6126" w:rsidRDefault="00781BC3" w:rsidP="00781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303"/>
        <w:gridCol w:w="1360"/>
        <w:gridCol w:w="3401"/>
      </w:tblGrid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781BC3" w:rsidRPr="006B6126" w:rsidRDefault="00781BC3" w:rsidP="00781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</w:t>
      </w:r>
      <w:proofErr w:type="gramStart"/>
      <w:r w:rsidRPr="006B612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>, где: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 xml:space="preserve"> - предельные значения расчетных показателей минимально допустимого уровня обеспеченности мест захоронения;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26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 xml:space="preserve"> - приведенная величина, равная 0,1.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3" w:name="_Toc395513014"/>
      <w:r w:rsidRPr="00891E8F">
        <w:rPr>
          <w:rFonts w:eastAsia="Calibri" w:cs="Calibri"/>
          <w:b/>
          <w:sz w:val="28"/>
          <w:szCs w:val="28"/>
        </w:rPr>
        <w:t xml:space="preserve">1.15. </w:t>
      </w:r>
      <w:r w:rsidRPr="00891E8F">
        <w:rPr>
          <w:rFonts w:eastAsia="Calibri"/>
          <w:b/>
          <w:sz w:val="28"/>
          <w:szCs w:val="28"/>
        </w:rPr>
        <w:t>Расчетные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</w:r>
      <w:bookmarkEnd w:id="3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017"/>
        <w:gridCol w:w="2895"/>
        <w:gridCol w:w="1260"/>
        <w:gridCol w:w="1764"/>
        <w:gridCol w:w="1230"/>
      </w:tblGrid>
      <w:tr w:rsidR="001977F6" w:rsidRPr="00615897" w:rsidTr="00F56356">
        <w:trPr>
          <w:trHeight w:val="778"/>
        </w:trPr>
        <w:tc>
          <w:tcPr>
            <w:tcW w:w="416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1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415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94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33"/>
        </w:trPr>
        <w:tc>
          <w:tcPr>
            <w:tcW w:w="416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7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3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663"/>
        </w:trPr>
        <w:tc>
          <w:tcPr>
            <w:tcW w:w="416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01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Рынки, рыночные комплексы</w:t>
            </w:r>
          </w:p>
        </w:tc>
        <w:tc>
          <w:tcPr>
            <w:tcW w:w="2895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Количество кв. м общей площади рынка на 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126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64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Лин., 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:rsidR="00C50451" w:rsidRDefault="00C50451"/>
    <w:sectPr w:rsidR="00C50451" w:rsidSect="0020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0A" w:rsidRDefault="00EC4E0A" w:rsidP="001977F6">
      <w:r>
        <w:separator/>
      </w:r>
    </w:p>
  </w:endnote>
  <w:endnote w:type="continuationSeparator" w:id="0">
    <w:p w:rsidR="00EC4E0A" w:rsidRDefault="00EC4E0A" w:rsidP="0019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0A" w:rsidRDefault="00EC4E0A" w:rsidP="001977F6">
      <w:r>
        <w:separator/>
      </w:r>
    </w:p>
  </w:footnote>
  <w:footnote w:type="continuationSeparator" w:id="0">
    <w:p w:rsidR="00EC4E0A" w:rsidRDefault="00EC4E0A" w:rsidP="0019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D"/>
    <w:multiLevelType w:val="hybridMultilevel"/>
    <w:tmpl w:val="CCC41662"/>
    <w:lvl w:ilvl="0" w:tplc="C0169E4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0FC5F47"/>
    <w:multiLevelType w:val="hybridMultilevel"/>
    <w:tmpl w:val="5D9A755A"/>
    <w:lvl w:ilvl="0" w:tplc="E7506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70054"/>
    <w:multiLevelType w:val="hybridMultilevel"/>
    <w:tmpl w:val="2F204B4E"/>
    <w:lvl w:ilvl="0" w:tplc="A12210A6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F6"/>
    <w:rsid w:val="00071F16"/>
    <w:rsid w:val="0009481D"/>
    <w:rsid w:val="0012625F"/>
    <w:rsid w:val="00175BBA"/>
    <w:rsid w:val="001977F6"/>
    <w:rsid w:val="00206DA1"/>
    <w:rsid w:val="00256FD7"/>
    <w:rsid w:val="002D0B3F"/>
    <w:rsid w:val="003827C2"/>
    <w:rsid w:val="00416C58"/>
    <w:rsid w:val="004522AB"/>
    <w:rsid w:val="0046253F"/>
    <w:rsid w:val="00480DB2"/>
    <w:rsid w:val="00483AEB"/>
    <w:rsid w:val="0053353A"/>
    <w:rsid w:val="00536D8F"/>
    <w:rsid w:val="005A4F6E"/>
    <w:rsid w:val="005D17BC"/>
    <w:rsid w:val="00666E6A"/>
    <w:rsid w:val="006B6BFD"/>
    <w:rsid w:val="00781BC3"/>
    <w:rsid w:val="00813C12"/>
    <w:rsid w:val="00854797"/>
    <w:rsid w:val="00856716"/>
    <w:rsid w:val="00902BF3"/>
    <w:rsid w:val="00AE653C"/>
    <w:rsid w:val="00B31C88"/>
    <w:rsid w:val="00C50451"/>
    <w:rsid w:val="00C76F8D"/>
    <w:rsid w:val="00E10A01"/>
    <w:rsid w:val="00E160CF"/>
    <w:rsid w:val="00E63E38"/>
    <w:rsid w:val="00E94907"/>
    <w:rsid w:val="00EA770E"/>
    <w:rsid w:val="00EC4E0A"/>
    <w:rsid w:val="00F56356"/>
    <w:rsid w:val="00F87FE7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 Знак,Table_Footnote_last Знак Знак,Table_Footnote_last"/>
    <w:basedOn w:val="a"/>
    <w:link w:val="a4"/>
    <w:rsid w:val="001977F6"/>
    <w:rPr>
      <w:rFonts w:ascii="Arial" w:eastAsia="Calibri" w:hAnsi="Arial" w:cs="Arial"/>
      <w:sz w:val="20"/>
      <w:szCs w:val="20"/>
    </w:rPr>
  </w:style>
  <w:style w:type="character" w:customStyle="1" w:styleId="a4">
    <w:name w:val="Текст сноски Знак"/>
    <w:aliases w:val="Table_Footnote_last Знак Знак1,Table_Footnote_last Знак Знак Знак,Table_Footnote_last Знак1"/>
    <w:basedOn w:val="a0"/>
    <w:link w:val="a3"/>
    <w:rsid w:val="001977F6"/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rsid w:val="001977F6"/>
    <w:rPr>
      <w:vertAlign w:val="superscript"/>
    </w:rPr>
  </w:style>
  <w:style w:type="paragraph" w:customStyle="1" w:styleId="formattext">
    <w:name w:val="formattext"/>
    <w:basedOn w:val="a"/>
    <w:rsid w:val="00AE653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1F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1F16"/>
    <w:rPr>
      <w:color w:val="0000FF"/>
      <w:u w:val="single"/>
    </w:rPr>
  </w:style>
  <w:style w:type="paragraph" w:customStyle="1" w:styleId="ConsPlusNormal">
    <w:name w:val="ConsPlusNormal"/>
    <w:rsid w:val="0020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31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21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123</cp:lastModifiedBy>
  <cp:revision>19</cp:revision>
  <dcterms:created xsi:type="dcterms:W3CDTF">2019-03-14T08:00:00Z</dcterms:created>
  <dcterms:modified xsi:type="dcterms:W3CDTF">2019-06-25T13:17:00Z</dcterms:modified>
</cp:coreProperties>
</file>