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en-US" w:eastAsia="en-US"/>
        </w:rPr>
        <w:t>I</w:t>
      </w:r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2971EA">
        <w:rPr>
          <w:rFonts w:eastAsia="Calibri"/>
          <w:bCs/>
        </w:rPr>
        <w:t xml:space="preserve">Васильевского 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</w:t>
      </w:r>
      <w:r w:rsidRPr="00615897">
        <w:rPr>
          <w:rFonts w:eastAsia="Calibri"/>
          <w:lang w:eastAsia="en-US"/>
        </w:rPr>
        <w:t xml:space="preserve"> </w:t>
      </w:r>
      <w:r w:rsidRPr="00615897">
        <w:rPr>
          <w:rFonts w:eastAsia="Calibri"/>
          <w:bCs/>
          <w:lang w:eastAsia="en-US"/>
        </w:rPr>
        <w:t>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Руководящие документы (РД, </w:t>
      </w:r>
      <w:proofErr w:type="gramStart"/>
      <w:r w:rsidRPr="00615897">
        <w:rPr>
          <w:rFonts w:eastAsia="Calibri"/>
          <w:bCs/>
        </w:rPr>
        <w:t>СО</w:t>
      </w:r>
      <w:proofErr w:type="gramEnd"/>
      <w:r w:rsidRPr="00615897">
        <w:rPr>
          <w:rFonts w:eastAsia="Calibri"/>
          <w:bCs/>
        </w:rPr>
        <w:t>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r w:rsidR="00E20F01">
        <w:rPr>
          <w:rFonts w:eastAsia="Calibri"/>
          <w:bCs/>
        </w:rPr>
        <w:t>Васильевского</w:t>
      </w:r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r w:rsidR="00E20F01">
        <w:rPr>
          <w:rFonts w:eastAsia="Calibri"/>
          <w:bCs/>
        </w:rPr>
        <w:t>Васильевского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>
        <w:rPr>
          <w:rFonts w:eastAsia="Calibri"/>
          <w:bCs/>
        </w:rPr>
        <w:t xml:space="preserve"> 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r w:rsidR="00E20F01">
        <w:rPr>
          <w:rFonts w:eastAsia="Calibri"/>
          <w:bCs/>
        </w:rPr>
        <w:t>Васильевского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r w:rsidR="00E20F01">
        <w:rPr>
          <w:rFonts w:eastAsia="Calibri"/>
          <w:bCs/>
        </w:rPr>
        <w:t>Васильевского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r w:rsidR="00E20F01">
        <w:rPr>
          <w:rFonts w:eastAsia="Calibri"/>
          <w:bCs/>
        </w:rPr>
        <w:t>Васильевского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  <w:r w:rsidR="00F56356">
        <w:rPr>
          <w:rFonts w:eastAsia="Calibri"/>
          <w:lang w:eastAsia="en-US"/>
        </w:rPr>
        <w:t xml:space="preserve"> </w:t>
      </w:r>
    </w:p>
    <w:p w:rsidR="001977F6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C76F8D">
        <w:rPr>
          <w:color w:val="2D2D2D"/>
          <w:spacing w:val="2"/>
        </w:rPr>
        <w:t xml:space="preserve"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</w:t>
      </w:r>
      <w:proofErr w:type="spellStart"/>
      <w:r w:rsidRPr="00C76F8D">
        <w:rPr>
          <w:color w:val="2D2D2D"/>
          <w:spacing w:val="2"/>
        </w:rPr>
        <w:t>кВ</w:t>
      </w:r>
      <w:proofErr w:type="spellEnd"/>
      <w:r w:rsidRPr="00C76F8D">
        <w:rPr>
          <w:color w:val="2D2D2D"/>
          <w:spacing w:val="2"/>
        </w:rPr>
        <w:t xml:space="preserve">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  <w:proofErr w:type="gramEnd"/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  <w:proofErr w:type="gramEnd"/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E63E38">
        <w:rPr>
          <w:color w:val="2D2D2D"/>
          <w:spacing w:val="2"/>
        </w:rPr>
        <w:t xml:space="preserve">В объем графического материала по развитию электрических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должны входить схемы электрических соединений и конфигурация сетей 35 </w:t>
      </w:r>
      <w:proofErr w:type="spellStart"/>
      <w:r w:rsidRPr="00E63E38">
        <w:rPr>
          <w:color w:val="2D2D2D"/>
          <w:spacing w:val="2"/>
        </w:rPr>
        <w:t>кВ</w:t>
      </w:r>
      <w:proofErr w:type="spellEnd"/>
      <w:r w:rsidRPr="00E63E38">
        <w:rPr>
          <w:color w:val="2D2D2D"/>
          <w:spacing w:val="2"/>
        </w:rPr>
        <w:t xml:space="preserve"> и выше на плане города в масштабе 1:25000</w:t>
      </w:r>
      <w:r w:rsidR="00E63E38">
        <w:rPr>
          <w:color w:val="2D2D2D"/>
          <w:spacing w:val="2"/>
        </w:rPr>
        <w:t xml:space="preserve"> </w:t>
      </w:r>
      <w:r w:rsidRPr="00E63E38">
        <w:rPr>
          <w:color w:val="2D2D2D"/>
          <w:spacing w:val="2"/>
        </w:rPr>
        <w:t>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  <w:proofErr w:type="gramEnd"/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952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395"/>
        <w:gridCol w:w="2298"/>
        <w:gridCol w:w="1888"/>
        <w:gridCol w:w="1245"/>
        <w:gridCol w:w="1197"/>
        <w:gridCol w:w="1236"/>
        <w:gridCol w:w="1267"/>
      </w:tblGrid>
      <w:tr w:rsidR="001977F6" w:rsidRPr="002A5842" w:rsidTr="00F56356">
        <w:trPr>
          <w:trHeight w:val="746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>Поселки и сельские поселени</w:t>
            </w:r>
            <w:proofErr w:type="gramStart"/>
            <w:r w:rsidRPr="002A5842">
              <w:t>я(</w:t>
            </w:r>
            <w:proofErr w:type="gramEnd"/>
            <w:r w:rsidRPr="002A5842">
              <w:t xml:space="preserve">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  <w:r w:rsidRPr="002A5842">
              <w:rPr>
                <w:vertAlign w:val="superscript"/>
              </w:rPr>
              <w:t xml:space="preserve"> </w:t>
            </w:r>
            <w:r w:rsidRPr="002A5842"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</w:t>
            </w:r>
            <w:proofErr w:type="gramStart"/>
            <w:r w:rsidRPr="002A5842">
              <w:t>ч</w:t>
            </w:r>
            <w:proofErr w:type="gramEnd"/>
            <w:r w:rsidRPr="002A5842">
              <w:t xml:space="preserve">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F56356">
        <w:trPr>
          <w:trHeight w:val="2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</w:t>
            </w:r>
            <w:r w:rsidRPr="002A5842">
              <w:lastRenderedPageBreak/>
              <w:t xml:space="preserve">максимума электрической нагрузки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</w:t>
            </w: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</w:t>
            </w:r>
            <w:r w:rsidRPr="002A5842">
              <w:lastRenderedPageBreak/>
              <w:t xml:space="preserve">стационарными электроплитами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proofErr w:type="gramStart"/>
            <w:r w:rsidRPr="002A5842">
              <w:lastRenderedPageBreak/>
              <w:t>ч</w:t>
            </w:r>
            <w:proofErr w:type="gramEnd"/>
            <w:r w:rsidRPr="002A5842">
              <w:t xml:space="preserve">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F5635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proofErr w:type="gramStart"/>
            <w:r w:rsidRPr="002A5842">
              <w:t>оборудованные</w:t>
            </w:r>
            <w:proofErr w:type="gramEnd"/>
            <w:r w:rsidRPr="002A5842">
              <w:t xml:space="preserve"> стационарными электроплитами (100% охвата)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5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1.4.2. Расчетные показатели объектов, относящихся к области тепло</w:t>
      </w:r>
      <w:proofErr w:type="gramStart"/>
      <w:r w:rsidRPr="0028085C">
        <w:rPr>
          <w:rFonts w:eastAsia="Calibri"/>
          <w:sz w:val="28"/>
          <w:szCs w:val="28"/>
          <w:u w:val="single"/>
          <w:lang w:eastAsia="en-US"/>
        </w:rPr>
        <w:t xml:space="preserve">-, </w:t>
      </w:r>
      <w:proofErr w:type="gramEnd"/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8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Проектирование систем </w:t>
      </w:r>
      <w:proofErr w:type="spellStart"/>
      <w:r>
        <w:rPr>
          <w:rFonts w:eastAsia="Calibri"/>
          <w:lang w:eastAsia="en-US"/>
        </w:rPr>
        <w:t>газопотребления</w:t>
      </w:r>
      <w:proofErr w:type="spellEnd"/>
      <w:r>
        <w:rPr>
          <w:rFonts w:eastAsia="Calibri"/>
          <w:lang w:eastAsia="en-US"/>
        </w:rPr>
        <w:t xml:space="preserve">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lastRenderedPageBreak/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л</w:t>
            </w:r>
            <w:proofErr w:type="gramEnd"/>
            <w:r w:rsidRPr="00615897">
              <w:rPr>
                <w:rFonts w:eastAsia="Calibri"/>
                <w:lang w:eastAsia="en-US"/>
              </w:rPr>
              <w:t>/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</w:t>
      </w:r>
      <w:r w:rsidR="00E94907">
        <w:rPr>
          <w:rFonts w:eastAsia="Calibri"/>
          <w:lang w:eastAsia="en-US"/>
        </w:rPr>
        <w:t xml:space="preserve"> </w:t>
      </w:r>
      <w:r w:rsidRPr="0028085C">
        <w:rPr>
          <w:rFonts w:eastAsia="Calibri"/>
          <w:lang w:eastAsia="en-US"/>
        </w:rPr>
        <w:t>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168"/>
        <w:gridCol w:w="1987"/>
        <w:gridCol w:w="1311"/>
        <w:gridCol w:w="1371"/>
        <w:gridCol w:w="1244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Дождевая канализация. Суточный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поверхностного стока, поступающий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 xml:space="preserve">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615897">
              <w:rPr>
                <w:rFonts w:eastAsia="Calibri"/>
                <w:lang w:eastAsia="en-US"/>
              </w:rPr>
              <w:t>сут</w:t>
            </w:r>
            <w:proofErr w:type="spellEnd"/>
            <w:r w:rsidRPr="00615897">
              <w:rPr>
                <w:rFonts w:eastAsia="Calibri"/>
                <w:lang w:eastAsia="en-US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28085C">
        <w:rPr>
          <w:bCs/>
          <w:sz w:val="28"/>
          <w:szCs w:val="28"/>
          <w:u w:val="single"/>
        </w:rPr>
        <w:t xml:space="preserve"> 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r w:rsidR="00E20F01">
        <w:rPr>
          <w:rFonts w:ascii="Times New Roman" w:hAnsi="Times New Roman" w:cs="Times New Roman"/>
          <w:sz w:val="28"/>
          <w:szCs w:val="28"/>
          <w:u w:val="single"/>
        </w:rPr>
        <w:t>Васильевского</w:t>
      </w: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proofErr w:type="spellEnd"/>
            <w:r w:rsidR="00206D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бизнес-класса</w:t>
            </w:r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roofErr w:type="spellStart"/>
            <w:r>
              <w:t>Вальсевское</w:t>
            </w:r>
            <w:proofErr w:type="spellEnd"/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roofErr w:type="spellStart"/>
            <w:r>
              <w:t>Вальсевское</w:t>
            </w:r>
            <w:proofErr w:type="spellEnd"/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206DA1">
            <w:proofErr w:type="spellStart"/>
            <w:r>
              <w:lastRenderedPageBreak/>
              <w:t>Вальсевское</w:t>
            </w:r>
            <w:proofErr w:type="spellEnd"/>
            <w:r w:rsidR="00206DA1">
              <w:t xml:space="preserve"> СП</w:t>
            </w:r>
            <w:r w:rsidR="00206DA1" w:rsidRPr="00300D61"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roofErr w:type="spellStart"/>
            <w:r>
              <w:t>Вальсевское</w:t>
            </w:r>
            <w:proofErr w:type="spellEnd"/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операционного зала (залов),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административных (офисных)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клубных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административных (офисных), лабораторных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складских помещений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торговых залов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рынка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приемщиков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зрительских мест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постоянных мест в читальных залах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-место (не менее 10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на трибунах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площади объекта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дальнего следования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 в час пик на 1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Вальсевское</w:t>
            </w:r>
            <w:proofErr w:type="spellEnd"/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proofErr w:type="spellEnd"/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5B38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Вальсевское</w:t>
            </w:r>
            <w:proofErr w:type="spellEnd"/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Лин., </w:t>
            </w: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 xml:space="preserve">3. Габариты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 xml:space="preserve">-места следует принимать в соответствии с национальным стандартом Российской Федерации ГОСТ </w:t>
      </w:r>
      <w:proofErr w:type="gramStart"/>
      <w:r w:rsidRPr="00BC3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339D">
        <w:rPr>
          <w:rFonts w:ascii="Times New Roman" w:hAnsi="Times New Roman" w:cs="Times New Roman"/>
          <w:sz w:val="24"/>
          <w:szCs w:val="24"/>
        </w:rP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 xml:space="preserve">4. Если действующим законодательством установлены иные предельные значения территориальной доступности для </w:t>
      </w:r>
      <w:proofErr w:type="spellStart"/>
      <w:r w:rsidRPr="00BC33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C339D">
        <w:rPr>
          <w:rFonts w:ascii="Times New Roman" w:hAnsi="Times New Roman" w:cs="Times New Roman"/>
          <w:sz w:val="24"/>
          <w:szCs w:val="24"/>
        </w:rPr>
        <w:t>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5108"/>
        <w:gridCol w:w="2195"/>
        <w:gridCol w:w="2063"/>
        <w:gridCol w:w="2523"/>
        <w:gridCol w:w="206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</w:t>
            </w:r>
            <w:proofErr w:type="gramStart"/>
            <w:r w:rsidRPr="00615897">
              <w:rPr>
                <w:rFonts w:eastAsia="Calibri"/>
                <w:lang w:eastAsia="en-US"/>
              </w:rPr>
              <w:t>.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15897">
              <w:rPr>
                <w:rFonts w:eastAsia="Calibri"/>
                <w:lang w:eastAsia="en-US"/>
              </w:rPr>
              <w:t>п</w:t>
            </w:r>
            <w:proofErr w:type="gramEnd"/>
            <w:r w:rsidRPr="00615897">
              <w:rPr>
                <w:rFonts w:eastAsia="Calibri"/>
                <w:lang w:eastAsia="en-US"/>
              </w:rPr>
              <w:t>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га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</w:t>
            </w:r>
            <w:r w:rsidRPr="00615897">
              <w:rPr>
                <w:rFonts w:eastAsia="Calibri"/>
              </w:rPr>
              <w:lastRenderedPageBreak/>
              <w:t>коммуникаций 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15897">
              <w:rPr>
                <w:rFonts w:eastAsia="Calibri"/>
                <w:lang w:eastAsia="en-US"/>
              </w:rPr>
              <w:t>м</w:t>
            </w:r>
            <w:proofErr w:type="gramEnd"/>
            <w:r w:rsidRPr="00615897">
              <w:rPr>
                <w:rFonts w:eastAsia="Calibri"/>
                <w:lang w:eastAsia="en-US"/>
              </w:rPr>
              <w:t>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1977F6" w:rsidRPr="006158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 xml:space="preserve">Трансп. для </w:t>
            </w:r>
            <w:proofErr w:type="spellStart"/>
            <w:r>
              <w:t>жит</w:t>
            </w:r>
            <w:proofErr w:type="gramStart"/>
            <w:r>
              <w:t>.с</w:t>
            </w:r>
            <w:proofErr w:type="gramEnd"/>
            <w:r>
              <w:t>.п</w:t>
            </w:r>
            <w:proofErr w:type="spellEnd"/>
            <w:r>
              <w:t>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Сельские массовые библиотеки на 1 тыс. чел. Зоны обслуживания (из расчета 30-минутной доступности) для сельских поселений или их групп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15897">
              <w:rPr>
                <w:rFonts w:eastAsia="Calibri"/>
                <w:lang w:eastAsia="en-US"/>
              </w:rPr>
              <w:t>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proofErr w:type="gramStart"/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</w:t>
      </w:r>
      <w:proofErr w:type="gramStart"/>
      <w:r w:rsidRPr="006B61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>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126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6B6126">
        <w:rPr>
          <w:rFonts w:ascii="Times New Roman" w:hAnsi="Times New Roman" w:cs="Times New Roman"/>
          <w:sz w:val="24"/>
          <w:szCs w:val="24"/>
        </w:rPr>
        <w:t xml:space="preserve">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Количество кв. м общей площади рынка на 1 </w:t>
            </w:r>
            <w:proofErr w:type="spellStart"/>
            <w:r>
              <w:t>машиноместо</w:t>
            </w:r>
            <w:proofErr w:type="spellEnd"/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Лин.,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46" w:rsidRDefault="005C0B46" w:rsidP="001977F6">
      <w:r>
        <w:separator/>
      </w:r>
    </w:p>
  </w:endnote>
  <w:endnote w:type="continuationSeparator" w:id="0">
    <w:p w:rsidR="005C0B46" w:rsidRDefault="005C0B46" w:rsidP="001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46" w:rsidRDefault="005C0B46" w:rsidP="001977F6">
      <w:r>
        <w:separator/>
      </w:r>
    </w:p>
  </w:footnote>
  <w:footnote w:type="continuationSeparator" w:id="0">
    <w:p w:rsidR="005C0B46" w:rsidRDefault="005C0B46" w:rsidP="0019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F6"/>
    <w:rsid w:val="00071F16"/>
    <w:rsid w:val="0009481D"/>
    <w:rsid w:val="000C5B38"/>
    <w:rsid w:val="0012625F"/>
    <w:rsid w:val="00175BBA"/>
    <w:rsid w:val="001977F6"/>
    <w:rsid w:val="00206DA1"/>
    <w:rsid w:val="00256FD7"/>
    <w:rsid w:val="00267B8A"/>
    <w:rsid w:val="002971EA"/>
    <w:rsid w:val="002D0B3F"/>
    <w:rsid w:val="003827C2"/>
    <w:rsid w:val="00394C91"/>
    <w:rsid w:val="00416C58"/>
    <w:rsid w:val="00444824"/>
    <w:rsid w:val="004522AB"/>
    <w:rsid w:val="0046253F"/>
    <w:rsid w:val="00480DB2"/>
    <w:rsid w:val="00483AEB"/>
    <w:rsid w:val="005225D2"/>
    <w:rsid w:val="0053353A"/>
    <w:rsid w:val="00536D8F"/>
    <w:rsid w:val="005A4F6E"/>
    <w:rsid w:val="005C0B46"/>
    <w:rsid w:val="005D17BC"/>
    <w:rsid w:val="00666E6A"/>
    <w:rsid w:val="006B6BFD"/>
    <w:rsid w:val="00781BC3"/>
    <w:rsid w:val="00813C12"/>
    <w:rsid w:val="00854797"/>
    <w:rsid w:val="00856716"/>
    <w:rsid w:val="00902BF3"/>
    <w:rsid w:val="00AE653C"/>
    <w:rsid w:val="00B31C88"/>
    <w:rsid w:val="00C50451"/>
    <w:rsid w:val="00C76F8D"/>
    <w:rsid w:val="00E10A01"/>
    <w:rsid w:val="00E160CF"/>
    <w:rsid w:val="00E20F01"/>
    <w:rsid w:val="00E63E38"/>
    <w:rsid w:val="00E94907"/>
    <w:rsid w:val="00EA770E"/>
    <w:rsid w:val="00EC4E0A"/>
    <w:rsid w:val="00F56356"/>
    <w:rsid w:val="00F87FE7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31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21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123</cp:lastModifiedBy>
  <cp:revision>25</cp:revision>
  <dcterms:created xsi:type="dcterms:W3CDTF">2019-03-14T08:00:00Z</dcterms:created>
  <dcterms:modified xsi:type="dcterms:W3CDTF">2019-06-26T03:57:00Z</dcterms:modified>
</cp:coreProperties>
</file>